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B27" w:rsidRDefault="00881B27">
      <w:pPr>
        <w:rPr>
          <w:noProof/>
          <w:lang w:eastAsia="id-ID"/>
        </w:rPr>
      </w:pPr>
      <w:r>
        <w:rPr>
          <w:noProof/>
          <w:lang w:eastAsia="id-ID"/>
        </w:rPr>
        <w:drawing>
          <wp:anchor distT="0" distB="0" distL="114300" distR="114300" simplePos="0" relativeHeight="251658240" behindDoc="1" locked="0" layoutInCell="1" allowOverlap="1" wp14:anchorId="6EB1E76C" wp14:editId="3A0811AC">
            <wp:simplePos x="0" y="0"/>
            <wp:positionH relativeFrom="column">
              <wp:posOffset>733425</wp:posOffset>
            </wp:positionH>
            <wp:positionV relativeFrom="paragraph">
              <wp:posOffset>38100</wp:posOffset>
            </wp:positionV>
            <wp:extent cx="5731510" cy="322199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t xml:space="preserve"> </w:t>
      </w:r>
    </w:p>
    <w:p w:rsidR="00881B27" w:rsidRDefault="00881B27">
      <w:pPr>
        <w:rPr>
          <w:noProof/>
          <w:lang w:eastAsia="id-ID"/>
        </w:rPr>
      </w:pPr>
      <w:r>
        <w:rPr>
          <w:noProof/>
          <w:lang w:eastAsia="id-ID"/>
        </w:rPr>
        <w:t xml:space="preserve"> </w:t>
      </w:r>
    </w:p>
    <w:p w:rsidR="00881B27" w:rsidRDefault="00881B27">
      <w:pPr>
        <w:rPr>
          <w:noProof/>
          <w:lang w:eastAsia="id-ID"/>
        </w:rPr>
      </w:pPr>
      <w:r>
        <w:rPr>
          <w:noProof/>
          <w:lang w:eastAsia="id-ID"/>
        </w:rPr>
        <w:t xml:space="preserve"> </w:t>
      </w:r>
    </w:p>
    <w:p w:rsidR="00881B27" w:rsidRDefault="00881B27">
      <w:pPr>
        <w:rPr>
          <w:noProof/>
          <w:lang w:eastAsia="id-ID"/>
        </w:rPr>
      </w:pPr>
      <w:r>
        <w:rPr>
          <w:noProof/>
          <w:lang w:eastAsia="id-ID"/>
        </w:rPr>
        <w:t xml:space="preserve"> </w:t>
      </w:r>
    </w:p>
    <w:p w:rsidR="00881B27" w:rsidRDefault="00881B27">
      <w:pPr>
        <w:rPr>
          <w:noProof/>
          <w:lang w:eastAsia="id-ID"/>
        </w:rPr>
      </w:pPr>
    </w:p>
    <w:p w:rsidR="00881B27" w:rsidRDefault="00881B27">
      <w:pPr>
        <w:rPr>
          <w:noProof/>
          <w:lang w:eastAsia="id-ID"/>
        </w:rPr>
      </w:pPr>
    </w:p>
    <w:p w:rsidR="00881B27" w:rsidRDefault="00881B27">
      <w:pPr>
        <w:rPr>
          <w:noProof/>
          <w:lang w:eastAsia="id-ID"/>
        </w:rPr>
      </w:pPr>
    </w:p>
    <w:p w:rsidR="00881B27" w:rsidRDefault="00881B27">
      <w:pPr>
        <w:rPr>
          <w:noProof/>
          <w:lang w:eastAsia="id-ID"/>
        </w:rPr>
      </w:pPr>
    </w:p>
    <w:p w:rsidR="00881B27" w:rsidRDefault="00881B27">
      <w:pPr>
        <w:rPr>
          <w:noProof/>
          <w:lang w:eastAsia="id-ID"/>
        </w:rPr>
      </w:pPr>
    </w:p>
    <w:p w:rsidR="00881B27" w:rsidRDefault="00881B27">
      <w:pPr>
        <w:rPr>
          <w:noProof/>
          <w:lang w:eastAsia="id-ID"/>
        </w:rPr>
      </w:pPr>
    </w:p>
    <w:p w:rsidR="00E86C25" w:rsidRDefault="00E86C25">
      <w:pPr>
        <w:rPr>
          <w:noProof/>
          <w:lang w:eastAsia="id-ID"/>
        </w:rPr>
      </w:pPr>
    </w:p>
    <w:p w:rsidR="00224285" w:rsidRDefault="00881B27">
      <w:pPr>
        <w:rPr>
          <w:noProof/>
          <w:lang w:eastAsia="id-ID"/>
        </w:rPr>
      </w:pPr>
      <w:r>
        <w:rPr>
          <w:noProof/>
          <w:lang w:eastAsia="id-ID"/>
        </w:rPr>
        <w:t xml:space="preserve"> </w:t>
      </w:r>
      <w:hyperlink r:id="rId7" w:history="1">
        <w:r w:rsidRPr="00963349">
          <w:rPr>
            <w:rStyle w:val="Hyperlink"/>
            <w:noProof/>
            <w:lang w:eastAsia="id-ID"/>
          </w:rPr>
          <w:t>https://covid19.go.id/peta-sebaran</w:t>
        </w:r>
      </w:hyperlink>
    </w:p>
    <w:p w:rsidR="00881B27" w:rsidRDefault="00E86C25">
      <w:pPr>
        <w:rPr>
          <w:noProof/>
          <w:lang w:eastAsia="id-ID"/>
        </w:rPr>
      </w:pPr>
      <w:r>
        <w:rPr>
          <w:noProof/>
          <w:lang w:eastAsia="id-ID"/>
        </w:rPr>
        <w:drawing>
          <wp:anchor distT="0" distB="0" distL="114300" distR="114300" simplePos="0" relativeHeight="251659264" behindDoc="1" locked="0" layoutInCell="1" allowOverlap="1" wp14:anchorId="4624BCBD" wp14:editId="0A697EA6">
            <wp:simplePos x="0" y="0"/>
            <wp:positionH relativeFrom="column">
              <wp:posOffset>6985</wp:posOffset>
            </wp:positionH>
            <wp:positionV relativeFrom="paragraph">
              <wp:posOffset>138430</wp:posOffset>
            </wp:positionV>
            <wp:extent cx="5731510" cy="322199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r>
        <w:rPr>
          <w:noProof/>
          <w:lang w:eastAsia="id-ID"/>
        </w:rPr>
        <w:t xml:space="preserve"> </w:t>
      </w:r>
    </w:p>
    <w:p w:rsidR="00E86C25" w:rsidRDefault="00E86C25">
      <w:pPr>
        <w:rPr>
          <w:noProof/>
          <w:lang w:eastAsia="id-ID"/>
        </w:rPr>
      </w:pPr>
    </w:p>
    <w:p w:rsidR="00E86C25" w:rsidRDefault="00E86C25">
      <w:pPr>
        <w:rPr>
          <w:noProof/>
          <w:lang w:eastAsia="id-ID"/>
        </w:rPr>
      </w:pPr>
      <w:r>
        <w:rPr>
          <w:noProof/>
          <w:lang w:eastAsia="id-ID"/>
        </w:rPr>
        <w:lastRenderedPageBreak/>
        <w:t xml:space="preserve"> </w:t>
      </w:r>
      <w:r>
        <w:rPr>
          <w:noProof/>
          <w:lang w:eastAsia="id-ID"/>
        </w:rPr>
        <w:drawing>
          <wp:anchor distT="0" distB="0" distL="114300" distR="114300" simplePos="0" relativeHeight="251662336" behindDoc="1" locked="0" layoutInCell="1" allowOverlap="1">
            <wp:simplePos x="0" y="0"/>
            <wp:positionH relativeFrom="column">
              <wp:posOffset>0</wp:posOffset>
            </wp:positionH>
            <wp:positionV relativeFrom="paragraph">
              <wp:posOffset>200025</wp:posOffset>
            </wp:positionV>
            <wp:extent cx="5731510" cy="322199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14:sizeRelH relativeFrom="page">
              <wp14:pctWidth>0</wp14:pctWidth>
            </wp14:sizeRelH>
            <wp14:sizeRelV relativeFrom="page">
              <wp14:pctHeight>0</wp14:pctHeight>
            </wp14:sizeRelV>
          </wp:anchor>
        </w:drawing>
      </w:r>
    </w:p>
    <w:p w:rsidR="00E86C25" w:rsidRDefault="00E86C25">
      <w:pPr>
        <w:rPr>
          <w:noProof/>
          <w:lang w:eastAsia="id-ID"/>
        </w:rPr>
      </w:pPr>
      <w:r>
        <w:rPr>
          <w:noProof/>
          <w:lang w:eastAsia="id-ID"/>
        </w:rPr>
        <w:t xml:space="preserve"> </w:t>
      </w:r>
      <w:r w:rsidR="00B9451A">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drawing>
          <wp:anchor distT="0" distB="0" distL="114300" distR="114300" simplePos="0" relativeHeight="251660288" behindDoc="1" locked="0" layoutInCell="1" allowOverlap="1" wp14:anchorId="376402C7" wp14:editId="12CB6336">
            <wp:simplePos x="0" y="0"/>
            <wp:positionH relativeFrom="column">
              <wp:posOffset>6985</wp:posOffset>
            </wp:positionH>
            <wp:positionV relativeFrom="paragraph">
              <wp:posOffset>256540</wp:posOffset>
            </wp:positionV>
            <wp:extent cx="5731510" cy="32219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p>
    <w:p w:rsidR="00E86C25" w:rsidRDefault="00E86C25">
      <w:pPr>
        <w:rPr>
          <w:noProof/>
          <w:lang w:eastAsia="id-ID"/>
        </w:rPr>
      </w:pPr>
      <w:r>
        <w:rPr>
          <w:noProof/>
          <w:lang w:eastAsia="id-ID"/>
        </w:rPr>
        <w:t xml:space="preserve">  </w:t>
      </w:r>
      <w:r w:rsidR="00B9451A">
        <w:rPr>
          <w:noProof/>
          <w:lang w:eastAsia="id-ID"/>
        </w:rPr>
        <w:t xml:space="preserve"> </w:t>
      </w:r>
    </w:p>
    <w:p w:rsidR="00B9451A" w:rsidRDefault="00B9451A">
      <w:pPr>
        <w:rPr>
          <w:noProof/>
          <w:lang w:eastAsia="id-ID"/>
        </w:rPr>
      </w:pPr>
      <w:r>
        <w:rPr>
          <w:noProof/>
          <w:lang w:eastAsia="id-ID"/>
        </w:rPr>
        <w:t xml:space="preserve"> </w:t>
      </w: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881B27" w:rsidRDefault="00B9451A">
      <w:pPr>
        <w:rPr>
          <w:noProof/>
          <w:lang w:eastAsia="id-ID"/>
        </w:rPr>
      </w:pPr>
      <w:r>
        <w:rPr>
          <w:noProof/>
          <w:lang w:eastAsia="id-ID"/>
        </w:rPr>
        <w:drawing>
          <wp:anchor distT="0" distB="0" distL="114300" distR="114300" simplePos="0" relativeHeight="251661312" behindDoc="1" locked="0" layoutInCell="1" allowOverlap="1" wp14:anchorId="45B0C0C1" wp14:editId="28DF7B9D">
            <wp:simplePos x="0" y="0"/>
            <wp:positionH relativeFrom="column">
              <wp:posOffset>152400</wp:posOffset>
            </wp:positionH>
            <wp:positionV relativeFrom="paragraph">
              <wp:posOffset>184785</wp:posOffset>
            </wp:positionV>
            <wp:extent cx="5731510" cy="322199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14:sizeRelH relativeFrom="page">
              <wp14:pctWidth>0</wp14:pctWidth>
            </wp14:sizeRelH>
            <wp14:sizeRelV relativeFrom="page">
              <wp14:pctHeight>0</wp14:pctHeight>
            </wp14:sizeRelV>
          </wp:anchor>
        </w:drawing>
      </w: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B9451A" w:rsidRDefault="00B9451A">
      <w:pPr>
        <w:rPr>
          <w:noProof/>
          <w:lang w:eastAsia="id-ID"/>
        </w:rPr>
      </w:pPr>
    </w:p>
    <w:p w:rsidR="00881B27" w:rsidRDefault="0081323C">
      <w:r>
        <w:t xml:space="preserve"> </w:t>
      </w:r>
    </w:p>
    <w:p w:rsidR="0081323C" w:rsidRDefault="0081323C">
      <w:r>
        <w:t xml:space="preserve"> </w:t>
      </w:r>
    </w:p>
    <w:p w:rsidR="0081323C" w:rsidRDefault="0081323C">
      <w:r>
        <w:t xml:space="preserve"> </w:t>
      </w:r>
    </w:p>
    <w:p w:rsidR="0081323C" w:rsidRDefault="0081323C">
      <w:r>
        <w:t xml:space="preserve"> </w:t>
      </w:r>
    </w:p>
    <w:p w:rsidR="0081323C" w:rsidRDefault="0081323C">
      <w:r>
        <w:t xml:space="preserve"> </w:t>
      </w:r>
    </w:p>
    <w:p w:rsidR="0081323C" w:rsidRDefault="0081323C">
      <w:r>
        <w:t xml:space="preserve"> </w:t>
      </w:r>
    </w:p>
    <w:p w:rsidR="0081323C" w:rsidRDefault="0081323C">
      <w:r>
        <w:t xml:space="preserve"> </w:t>
      </w:r>
    </w:p>
    <w:p w:rsidR="0081323C" w:rsidRDefault="0081323C">
      <w:r>
        <w:t xml:space="preserve"> </w:t>
      </w:r>
    </w:p>
    <w:p w:rsidR="00C97206" w:rsidRDefault="00C97206">
      <w:r>
        <w:br w:type="page"/>
      </w:r>
    </w:p>
    <w:p w:rsidR="0081323C" w:rsidRPr="00C97206" w:rsidRDefault="0081323C">
      <w:pPr>
        <w:rPr>
          <w:rFonts w:ascii="Tahoma" w:hAnsi="Tahoma" w:cs="Tahoma"/>
          <w:sz w:val="20"/>
          <w:szCs w:val="20"/>
        </w:rPr>
      </w:pPr>
      <w:r w:rsidRPr="00C97206">
        <w:rPr>
          <w:rFonts w:ascii="Tahoma" w:hAnsi="Tahoma" w:cs="Tahoma"/>
          <w:sz w:val="20"/>
          <w:szCs w:val="20"/>
        </w:rPr>
        <w:lastRenderedPageBreak/>
        <w:t xml:space="preserve"> </w:t>
      </w:r>
      <w:r w:rsidR="00C20BE8" w:rsidRPr="00C97206">
        <w:rPr>
          <w:rFonts w:ascii="Tahoma" w:hAnsi="Tahoma" w:cs="Tahoma"/>
          <w:sz w:val="20"/>
          <w:szCs w:val="20"/>
        </w:rPr>
        <w:t>I did not truly start considering the long-term impact this virus would have until the secondand third weeks of quarantine. While roughly 500 patients had tested positive in Texas by the end ofMarch, positive cases in New Jersey numbered nearly 3,000. Over the past two months, BergenCounty, a county in Northern New Jersey of roughly 1 million residents, including my parents, hasbeen impacted to the greatest extent, with over 11,000 confirmed cases and 650 deaths as of April17th.  As I was still in Texas, my parents updated me daily on new mandates, such as nightly curfews,store closures, wearing masks in public, and limiting the number of shoppers in grocery stores. Wespoke about medically vulnerable relatives at risk of exposure and people who had lost their entirelifesavings, as businesses were forced to permanently close due to financial hardships. My friends inmedical school also called to tell me about the shelf exams, clinical rotations, and graduations that had been cancelled across the country</w:t>
      </w:r>
      <w:r w:rsidRPr="00C97206">
        <w:rPr>
          <w:rFonts w:ascii="Tahoma" w:hAnsi="Tahoma" w:cs="Tahoma"/>
          <w:sz w:val="20"/>
          <w:szCs w:val="20"/>
        </w:rPr>
        <w:t xml:space="preserve"> </w:t>
      </w:r>
      <w:r w:rsidR="00110B94" w:rsidRPr="00C97206">
        <w:rPr>
          <w:rFonts w:ascii="Tahoma" w:hAnsi="Tahoma" w:cs="Tahoma"/>
          <w:sz w:val="20"/>
          <w:szCs w:val="20"/>
        </w:rPr>
        <w:t xml:space="preserve">.  </w:t>
      </w:r>
      <w:r w:rsidR="00110B94" w:rsidRPr="00C97206">
        <w:rPr>
          <w:rFonts w:ascii="Tahoma" w:hAnsi="Tahoma" w:cs="Tahoma"/>
          <w:b/>
          <w:sz w:val="20"/>
          <w:szCs w:val="20"/>
        </w:rPr>
        <w:t>Christine E. Wamsley</w:t>
      </w:r>
      <w:r w:rsidR="00DF341A" w:rsidRPr="00C97206">
        <w:rPr>
          <w:rFonts w:ascii="Tahoma" w:hAnsi="Tahoma" w:cs="Tahoma"/>
          <w:b/>
          <w:sz w:val="20"/>
          <w:szCs w:val="20"/>
        </w:rPr>
        <w:t xml:space="preserve"> </w:t>
      </w:r>
      <w:r w:rsidR="00DF341A" w:rsidRPr="00C97206">
        <w:rPr>
          <w:rFonts w:ascii="Tahoma" w:hAnsi="Tahoma" w:cs="Tahoma"/>
          <w:b/>
          <w:sz w:val="20"/>
          <w:szCs w:val="20"/>
        </w:rPr>
        <w:fldChar w:fldCharType="begin" w:fldLock="1"/>
      </w:r>
      <w:r w:rsidR="00DF341A" w:rsidRPr="00C97206">
        <w:rPr>
          <w:rFonts w:ascii="Tahoma" w:hAnsi="Tahoma" w:cs="Tahoma"/>
          <w:b/>
          <w:sz w:val="20"/>
          <w:szCs w:val="20"/>
        </w:rPr>
        <w:instrText>ADDIN CSL_CITATION {"citationItems":[{"id":"ITEM-1","itemData":{"DOI":"10.1093/asjof/ojaa021","author":[{"dropping-particle":"","family":"Wamsley","given":"Christine E","non-dropping-particle":"","parse-names":false,"suffix":""}],"container-title":"Aesthetic Surgery Journal Open Forum","id":"ITEM-1","issue":"2","issued":{"date-parts":[["2020","6","1"]]},"publisher":"Oxford University Press (OUP)","title":"Developing a New Normal During the Coronavirus Pandemic","type":"article-journal","volume":"2"},"uris":["http://www.mendeley.com/documents/?uuid=1b74be11-daba-313f-9154-2051f475fee1"]}],"mendeley":{"formattedCitation":"(Wamsley, 2020)","plainTextFormattedCitation":"(Wamsley, 2020)","previouslyFormattedCitation":"(Wamsley, 2020)"},"properties":{"noteIndex":0},"schema":"https://github.com/citation-style-language/schema/raw/master/csl-citation.json"}</w:instrText>
      </w:r>
      <w:r w:rsidR="00DF341A" w:rsidRPr="00C97206">
        <w:rPr>
          <w:rFonts w:ascii="Tahoma" w:hAnsi="Tahoma" w:cs="Tahoma"/>
          <w:b/>
          <w:sz w:val="20"/>
          <w:szCs w:val="20"/>
        </w:rPr>
        <w:fldChar w:fldCharType="separate"/>
      </w:r>
      <w:r w:rsidR="00DF341A" w:rsidRPr="00C97206">
        <w:rPr>
          <w:rFonts w:ascii="Tahoma" w:hAnsi="Tahoma" w:cs="Tahoma"/>
          <w:noProof/>
          <w:sz w:val="20"/>
          <w:szCs w:val="20"/>
        </w:rPr>
        <w:t>(Wamsley, 2020)</w:t>
      </w:r>
      <w:r w:rsidR="00DF341A" w:rsidRPr="00C97206">
        <w:rPr>
          <w:rFonts w:ascii="Tahoma" w:hAnsi="Tahoma" w:cs="Tahoma"/>
          <w:b/>
          <w:sz w:val="20"/>
          <w:szCs w:val="20"/>
        </w:rPr>
        <w:fldChar w:fldCharType="end"/>
      </w:r>
    </w:p>
    <w:p w:rsidR="00110B94" w:rsidRPr="00C97206" w:rsidRDefault="00110B94" w:rsidP="00110B94">
      <w:pPr>
        <w:rPr>
          <w:rFonts w:ascii="Tahoma" w:hAnsi="Tahoma" w:cs="Tahoma"/>
          <w:sz w:val="20"/>
          <w:szCs w:val="20"/>
        </w:rPr>
      </w:pPr>
      <w:r w:rsidRPr="00C97206">
        <w:rPr>
          <w:rFonts w:ascii="Tahoma" w:hAnsi="Tahoma" w:cs="Tahoma"/>
          <w:sz w:val="20"/>
          <w:szCs w:val="20"/>
        </w:rPr>
        <w:t xml:space="preserve">This volume 20 of the Journal of Urban Culture Research was created in the midst of the of the Covid-19 pandemic. Here in Thailand restrictions began in March and remain in place today. This crisis has caused many changes creating a “New Normal” life of social distancing among other changes in society. </w:t>
      </w:r>
      <w:r w:rsidR="00C97206">
        <w:rPr>
          <w:rFonts w:ascii="Tahoma" w:hAnsi="Tahoma" w:cs="Tahoma"/>
          <w:sz w:val="20"/>
          <w:szCs w:val="20"/>
        </w:rPr>
        <w:t xml:space="preserve"> </w:t>
      </w:r>
    </w:p>
    <w:p w:rsidR="00110B94" w:rsidRPr="00C97206" w:rsidRDefault="00110B94" w:rsidP="00110B94">
      <w:pPr>
        <w:rPr>
          <w:rFonts w:ascii="Tahoma" w:hAnsi="Tahoma" w:cs="Tahoma"/>
          <w:b/>
          <w:sz w:val="20"/>
          <w:szCs w:val="20"/>
        </w:rPr>
      </w:pPr>
      <w:r w:rsidRPr="00C97206">
        <w:rPr>
          <w:rFonts w:ascii="Tahoma" w:hAnsi="Tahoma" w:cs="Tahoma"/>
          <w:sz w:val="20"/>
          <w:szCs w:val="20"/>
        </w:rPr>
        <w:t xml:space="preserve">Regarding the limitation of social contact, social media has been instrumental in bringing forth performances, including Thai music, folk, pop and classical. People get together to perform music using the Zoom conferencing program to put together an online ensemble. There are numbers of music video clips emerging to support a new way of life in line with government policies to avoid being victim of asymptomatic or super spreaders. Drawings and paintings are being displayed  through virtual galleries. Graphic designs and animations also play significant roles in accompanying songs and performances. Visual arts and digital arts are  coming forth being used for promoting health and related safety campaigns.  Though urban art and culture have been impacted by Covid-19 throughout the world, it is a good opportunity to initiate a “New Normal” way of practice for all artists and urban research scholars in this new era. </w:t>
      </w:r>
      <w:r w:rsidRPr="00C97206">
        <w:rPr>
          <w:rFonts w:ascii="Tahoma" w:hAnsi="Tahoma" w:cs="Tahoma"/>
          <w:b/>
          <w:sz w:val="20"/>
          <w:szCs w:val="20"/>
        </w:rPr>
        <w:t>Bussakorn Binson</w:t>
      </w:r>
      <w:r w:rsidR="00DF341A" w:rsidRPr="00C97206">
        <w:rPr>
          <w:rFonts w:ascii="Tahoma" w:hAnsi="Tahoma" w:cs="Tahoma"/>
          <w:b/>
          <w:sz w:val="20"/>
          <w:szCs w:val="20"/>
        </w:rPr>
        <w:t xml:space="preserve"> </w:t>
      </w:r>
      <w:r w:rsidR="00DF341A" w:rsidRPr="00C97206">
        <w:rPr>
          <w:rFonts w:ascii="Tahoma" w:hAnsi="Tahoma" w:cs="Tahoma"/>
          <w:b/>
          <w:sz w:val="20"/>
          <w:szCs w:val="20"/>
        </w:rPr>
        <w:fldChar w:fldCharType="begin" w:fldLock="1"/>
      </w:r>
      <w:r w:rsidR="00DF341A" w:rsidRPr="00C97206">
        <w:rPr>
          <w:rFonts w:ascii="Tahoma" w:hAnsi="Tahoma" w:cs="Tahoma"/>
          <w:b/>
          <w:sz w:val="20"/>
          <w:szCs w:val="20"/>
        </w:rPr>
        <w:instrText>ADDIN CSL_CITATION {"citationItems":[{"id":"ITEM-1","itemData":{"ISSN":"24081213","author":[{"dropping-particle":"","family":"Binson","given":"Bussakorn","non-dropping-particle":"","parse-names":false,"suffix":""}],"container-title":"Journal of Urban Culture Research","id":"ITEM-1","issued":{"date-parts":[["2020","6","1"]]},"page":"1-2","publisher":"Chulalongkorn University, Faculty of Fine and Applied Arts","title":"The \"New Normal\" the \"Covid Culture\"","type":"article","volume":"20"},"uris":["http://www.mendeley.com/documents/?uuid=e3322e64-9872-38d1-a161-500a7076386f"]}],"mendeley":{"formattedCitation":"(Binson, 2020)","plainTextFormattedCitation":"(Binson, 2020)","previouslyFormattedCitation":"(Binson, 2020)"},"properties":{"noteIndex":0},"schema":"https://github.com/citation-style-language/schema/raw/master/csl-citation.json"}</w:instrText>
      </w:r>
      <w:r w:rsidR="00DF341A" w:rsidRPr="00C97206">
        <w:rPr>
          <w:rFonts w:ascii="Tahoma" w:hAnsi="Tahoma" w:cs="Tahoma"/>
          <w:b/>
          <w:sz w:val="20"/>
          <w:szCs w:val="20"/>
        </w:rPr>
        <w:fldChar w:fldCharType="separate"/>
      </w:r>
      <w:r w:rsidR="00DF341A" w:rsidRPr="00C97206">
        <w:rPr>
          <w:rFonts w:ascii="Tahoma" w:hAnsi="Tahoma" w:cs="Tahoma"/>
          <w:noProof/>
          <w:sz w:val="20"/>
          <w:szCs w:val="20"/>
        </w:rPr>
        <w:t>(Binson, 2020)</w:t>
      </w:r>
      <w:r w:rsidR="00DF341A" w:rsidRPr="00C97206">
        <w:rPr>
          <w:rFonts w:ascii="Tahoma" w:hAnsi="Tahoma" w:cs="Tahoma"/>
          <w:b/>
          <w:sz w:val="20"/>
          <w:szCs w:val="20"/>
        </w:rPr>
        <w:fldChar w:fldCharType="end"/>
      </w:r>
    </w:p>
    <w:p w:rsidR="00110B94" w:rsidRPr="00C97206" w:rsidRDefault="00110B94" w:rsidP="003A1DEF">
      <w:pPr>
        <w:spacing w:after="0" w:line="240" w:lineRule="auto"/>
        <w:ind w:firstLine="426"/>
        <w:jc w:val="both"/>
        <w:rPr>
          <w:rFonts w:ascii="Tahoma" w:hAnsi="Tahoma" w:cs="Tahoma"/>
          <w:b/>
          <w:sz w:val="20"/>
          <w:szCs w:val="20"/>
        </w:rPr>
      </w:pPr>
      <w:r w:rsidRPr="00C97206">
        <w:rPr>
          <w:rFonts w:ascii="Tahoma" w:hAnsi="Tahoma" w:cs="Tahoma"/>
          <w:sz w:val="20"/>
          <w:szCs w:val="20"/>
        </w:rPr>
        <w:t xml:space="preserve">The COVID-19 pandemic not only caused a health crisis, but also a global economic crisis. The widespread impact led the economy to changes to new normal conditions. This raises many important research topics in various fields such as health economics, public economics and public finance, institutional economics, international trade, environmental economics, development economics, behavioral economics, and many others to provide references for decision-makers. Such studies not only help to accelerate the recovery of the tourism industry from short-term shocks caused by the pandemic and economic crisis, but also the recovery of the national econom </w:t>
      </w:r>
      <w:r w:rsidRPr="00C97206">
        <w:rPr>
          <w:rFonts w:ascii="Tahoma" w:hAnsi="Tahoma" w:cs="Tahoma"/>
          <w:b/>
          <w:sz w:val="20"/>
          <w:szCs w:val="20"/>
        </w:rPr>
        <w:t>Tri Haryanto</w:t>
      </w:r>
      <w:r w:rsidR="00DF341A" w:rsidRPr="00C97206">
        <w:rPr>
          <w:rFonts w:ascii="Tahoma" w:hAnsi="Tahoma" w:cs="Tahoma"/>
          <w:b/>
          <w:sz w:val="20"/>
          <w:szCs w:val="20"/>
        </w:rPr>
        <w:t xml:space="preserve"> </w:t>
      </w:r>
      <w:r w:rsidR="00DF341A" w:rsidRPr="00C97206">
        <w:rPr>
          <w:rFonts w:ascii="Tahoma" w:hAnsi="Tahoma" w:cs="Tahoma"/>
          <w:b/>
          <w:sz w:val="20"/>
          <w:szCs w:val="20"/>
        </w:rPr>
        <w:fldChar w:fldCharType="begin" w:fldLock="1"/>
      </w:r>
      <w:r w:rsidR="00DF341A" w:rsidRPr="00C97206">
        <w:rPr>
          <w:rFonts w:ascii="Tahoma" w:hAnsi="Tahoma" w:cs="Tahoma"/>
          <w:b/>
          <w:sz w:val="20"/>
          <w:szCs w:val="20"/>
        </w:rPr>
        <w:instrText>ADDIN CSL_CITATION {"citationItems":[{"id":"ITEM-1","itemData":{"DOI":"10.20473/jde.v5i1.19767","ISSN":"2541-1012","abstract":"COVID-19 pandemic has become a global issue. Many experts predict that this pandemic will cause global economic growth to decline this year, or even the global economic recession. All efforts conducted by many countries in the world massively to prevent its spread such as social distancing, self-isolation, and similar actions to lockdown may have a major impact on tourism demand in many countries. The next section sequentially will discuss a brief review of the role of international tourism on the economy, the impact of the COVID-19 pandemic on the global economy and international tourism, and further research topics for the next edition.","author":[{"dropping-particle":"","family":"Haryanto","given":"Tri","non-dropping-particle":"","parse-names":false,"suffix":""}],"container-title":"Journal of Developing Economies","id":"ITEM-1","issue":"1","issued":{"date-parts":[["2020","6","10"]]},"page":"1-5","publisher":"Universitas Airlangga","title":"EDITORIAL: COVID-19 PANDEMIC AND INTERNATIONAL TOURISM DEMAND","type":"article-journal","volume":"5"},"uris":["http://www.mendeley.com/documents/?uuid=bd8e9335-6e2c-3575-9335-149f1b34f746"]}],"mendeley":{"formattedCitation":"(Haryanto, 2020)","plainTextFormattedCitation":"(Haryanto, 2020)","previouslyFormattedCitation":"(Haryanto, 2020)"},"properties":{"noteIndex":0},"schema":"https://github.com/citation-style-language/schema/raw/master/csl-citation.json"}</w:instrText>
      </w:r>
      <w:r w:rsidR="00DF341A" w:rsidRPr="00C97206">
        <w:rPr>
          <w:rFonts w:ascii="Tahoma" w:hAnsi="Tahoma" w:cs="Tahoma"/>
          <w:b/>
          <w:sz w:val="20"/>
          <w:szCs w:val="20"/>
        </w:rPr>
        <w:fldChar w:fldCharType="separate"/>
      </w:r>
      <w:r w:rsidR="00DF341A" w:rsidRPr="00C97206">
        <w:rPr>
          <w:rFonts w:ascii="Tahoma" w:hAnsi="Tahoma" w:cs="Tahoma"/>
          <w:noProof/>
          <w:sz w:val="20"/>
          <w:szCs w:val="20"/>
        </w:rPr>
        <w:t>(Haryanto, 2020)</w:t>
      </w:r>
      <w:r w:rsidR="00DF341A" w:rsidRPr="00C97206">
        <w:rPr>
          <w:rFonts w:ascii="Tahoma" w:hAnsi="Tahoma" w:cs="Tahoma"/>
          <w:b/>
          <w:sz w:val="20"/>
          <w:szCs w:val="20"/>
        </w:rPr>
        <w:fldChar w:fldCharType="end"/>
      </w:r>
    </w:p>
    <w:p w:rsidR="00110B94" w:rsidRPr="00C97206" w:rsidRDefault="00110B94" w:rsidP="003A1DEF">
      <w:pPr>
        <w:spacing w:after="0" w:line="240" w:lineRule="auto"/>
        <w:ind w:firstLine="426"/>
        <w:jc w:val="both"/>
        <w:rPr>
          <w:rFonts w:ascii="Tahoma" w:hAnsi="Tahoma" w:cs="Tahoma"/>
          <w:sz w:val="20"/>
          <w:szCs w:val="20"/>
        </w:rPr>
      </w:pPr>
    </w:p>
    <w:p w:rsidR="003A1DEF" w:rsidRPr="00C97206" w:rsidRDefault="003A1DEF" w:rsidP="003A1DEF">
      <w:pPr>
        <w:spacing w:after="0" w:line="240" w:lineRule="auto"/>
        <w:ind w:firstLine="426"/>
        <w:jc w:val="both"/>
        <w:rPr>
          <w:rFonts w:ascii="Tahoma" w:hAnsi="Tahoma" w:cs="Tahoma"/>
          <w:sz w:val="20"/>
          <w:szCs w:val="20"/>
        </w:rPr>
      </w:pPr>
      <w:r w:rsidRPr="00C97206">
        <w:rPr>
          <w:rFonts w:ascii="Tahoma" w:hAnsi="Tahoma" w:cs="Tahoma"/>
          <w:sz w:val="20"/>
          <w:szCs w:val="20"/>
        </w:rPr>
        <w:t>The importance of those providing this care remains</w:t>
      </w:r>
      <w:r w:rsidR="00DC627D" w:rsidRPr="00C97206">
        <w:rPr>
          <w:rFonts w:ascii="Tahoma" w:hAnsi="Tahoma" w:cs="Tahoma"/>
          <w:sz w:val="20"/>
          <w:szCs w:val="20"/>
        </w:rPr>
        <w:t xml:space="preserve"> </w:t>
      </w:r>
      <w:r w:rsidRPr="00C97206">
        <w:rPr>
          <w:rFonts w:ascii="Tahoma" w:hAnsi="Tahoma" w:cs="Tahoma"/>
          <w:sz w:val="20"/>
          <w:szCs w:val="20"/>
        </w:rPr>
        <w:t>central as this disease remains active, kinetic, and threatening.</w:t>
      </w:r>
      <w:r w:rsidR="00DC627D" w:rsidRPr="00C97206">
        <w:rPr>
          <w:rFonts w:ascii="Tahoma" w:hAnsi="Tahoma" w:cs="Tahoma"/>
          <w:sz w:val="20"/>
          <w:szCs w:val="20"/>
        </w:rPr>
        <w:t xml:space="preserve"> </w:t>
      </w:r>
      <w:r w:rsidRPr="00C97206">
        <w:rPr>
          <w:rFonts w:ascii="Tahoma" w:hAnsi="Tahoma" w:cs="Tahoma"/>
          <w:sz w:val="20"/>
          <w:szCs w:val="20"/>
        </w:rPr>
        <w:t>It will become equally if not more important as this</w:t>
      </w:r>
      <w:r w:rsidR="00DC627D" w:rsidRPr="00C97206">
        <w:rPr>
          <w:rFonts w:ascii="Tahoma" w:hAnsi="Tahoma" w:cs="Tahoma"/>
          <w:sz w:val="20"/>
          <w:szCs w:val="20"/>
        </w:rPr>
        <w:t xml:space="preserve"> </w:t>
      </w:r>
      <w:r w:rsidRPr="00C97206">
        <w:rPr>
          <w:rFonts w:ascii="Tahoma" w:hAnsi="Tahoma" w:cs="Tahoma"/>
          <w:sz w:val="20"/>
          <w:szCs w:val="20"/>
        </w:rPr>
        <w:t>storm diminishes. Many people are likely to suffer from</w:t>
      </w:r>
      <w:r w:rsidR="00DC627D" w:rsidRPr="00C97206">
        <w:rPr>
          <w:rFonts w:ascii="Tahoma" w:hAnsi="Tahoma" w:cs="Tahoma"/>
          <w:sz w:val="20"/>
          <w:szCs w:val="20"/>
        </w:rPr>
        <w:t xml:space="preserve"> </w:t>
      </w:r>
      <w:r w:rsidRPr="00C97206">
        <w:rPr>
          <w:rFonts w:ascii="Tahoma" w:hAnsi="Tahoma" w:cs="Tahoma"/>
          <w:sz w:val="20"/>
          <w:szCs w:val="20"/>
        </w:rPr>
        <w:t>PTSD. Just as many, if not more, may become overwhelmed</w:t>
      </w:r>
      <w:r w:rsidR="00DC627D" w:rsidRPr="00C97206">
        <w:rPr>
          <w:rFonts w:ascii="Tahoma" w:hAnsi="Tahoma" w:cs="Tahoma"/>
          <w:sz w:val="20"/>
          <w:szCs w:val="20"/>
        </w:rPr>
        <w:t xml:space="preserve"> </w:t>
      </w:r>
      <w:r w:rsidRPr="00C97206">
        <w:rPr>
          <w:rFonts w:ascii="Tahoma" w:hAnsi="Tahoma" w:cs="Tahoma"/>
          <w:sz w:val="20"/>
          <w:szCs w:val="20"/>
        </w:rPr>
        <w:t>with moral distress. Both share many common characteristics,</w:t>
      </w:r>
      <w:r w:rsidR="00DC627D" w:rsidRPr="00C97206">
        <w:rPr>
          <w:rFonts w:ascii="Tahoma" w:hAnsi="Tahoma" w:cs="Tahoma"/>
          <w:sz w:val="20"/>
          <w:szCs w:val="20"/>
        </w:rPr>
        <w:t xml:space="preserve"> </w:t>
      </w:r>
      <w:r w:rsidRPr="00C97206">
        <w:rPr>
          <w:rFonts w:ascii="Tahoma" w:hAnsi="Tahoma" w:cs="Tahoma"/>
          <w:sz w:val="20"/>
          <w:szCs w:val="20"/>
        </w:rPr>
        <w:t>but the latter can be more hidden and problematic.</w:t>
      </w:r>
      <w:r w:rsidR="00DC627D" w:rsidRPr="00C97206">
        <w:rPr>
          <w:rFonts w:ascii="Tahoma" w:hAnsi="Tahoma" w:cs="Tahoma"/>
          <w:sz w:val="20"/>
          <w:szCs w:val="20"/>
        </w:rPr>
        <w:t xml:space="preserve"> </w:t>
      </w:r>
      <w:r w:rsidRPr="00C97206">
        <w:rPr>
          <w:rFonts w:ascii="Tahoma" w:hAnsi="Tahoma" w:cs="Tahoma"/>
          <w:sz w:val="20"/>
          <w:szCs w:val="20"/>
        </w:rPr>
        <w:t>Moral distress emerges when individuals sense of meaning</w:t>
      </w:r>
      <w:r w:rsidR="00DC627D" w:rsidRPr="00C97206">
        <w:rPr>
          <w:rFonts w:ascii="Tahoma" w:hAnsi="Tahoma" w:cs="Tahoma"/>
          <w:sz w:val="20"/>
          <w:szCs w:val="20"/>
        </w:rPr>
        <w:t xml:space="preserve"> </w:t>
      </w:r>
      <w:r w:rsidRPr="00C97206">
        <w:rPr>
          <w:rFonts w:ascii="Tahoma" w:hAnsi="Tahoma" w:cs="Tahoma"/>
          <w:sz w:val="20"/>
          <w:szCs w:val="20"/>
        </w:rPr>
        <w:t>and worth become uncertain. Moral distress is an existential</w:t>
      </w:r>
      <w:r w:rsidR="00DC627D" w:rsidRPr="00C97206">
        <w:rPr>
          <w:rFonts w:ascii="Tahoma" w:hAnsi="Tahoma" w:cs="Tahoma"/>
          <w:sz w:val="20"/>
          <w:szCs w:val="20"/>
        </w:rPr>
        <w:t xml:space="preserve"> </w:t>
      </w:r>
      <w:r w:rsidRPr="00C97206">
        <w:rPr>
          <w:rFonts w:ascii="Tahoma" w:hAnsi="Tahoma" w:cs="Tahoma"/>
          <w:sz w:val="20"/>
          <w:szCs w:val="20"/>
        </w:rPr>
        <w:t>threat that, if not addressed, may challenge full</w:t>
      </w:r>
      <w:r w:rsidR="00DC627D" w:rsidRPr="00C97206">
        <w:rPr>
          <w:rFonts w:ascii="Tahoma" w:hAnsi="Tahoma" w:cs="Tahoma"/>
          <w:sz w:val="20"/>
          <w:szCs w:val="20"/>
        </w:rPr>
        <w:t xml:space="preserve"> recovery from trauma. The moral distress generated by COVID-19 is likely to be experienced by everyone, care providers and non-caregivers alike. Feelings such as guilt, failure, and lack of worth at an existential level characterize moral distress. Attempts to help manage, work through, and let go of these feelings often fail because, with moral distress, people are often unable to reclaim their own egostrength. They often feel unempowered and worthless. In such a state, what many people want and need is someone to afﬁrm their value. They seek someone to whom they may regard as more authoritative. Their positive transference often on such “authorities” cries out for validation and worth by simply taking on the role of forgiver. </w:t>
      </w:r>
      <w:r w:rsidR="00DF341A" w:rsidRPr="00C97206">
        <w:rPr>
          <w:rFonts w:ascii="Tahoma" w:hAnsi="Tahoma" w:cs="Tahoma"/>
          <w:sz w:val="20"/>
          <w:szCs w:val="20"/>
        </w:rPr>
        <w:fldChar w:fldCharType="begin" w:fldLock="1"/>
      </w:r>
      <w:r w:rsidR="00DF341A" w:rsidRPr="00C97206">
        <w:rPr>
          <w:rFonts w:ascii="Tahoma" w:hAnsi="Tahoma" w:cs="Tahoma"/>
          <w:sz w:val="20"/>
          <w:szCs w:val="20"/>
        </w:rPr>
        <w:instrText>ADDIN CSL_CITATION {"citationItems":[{"id":"ITEM-1","itemData":{"DOI":"10.1177/1542305020926831","ISSN":"2167776X","PMID":"32496948","author":[{"dropping-particle":"","family":"Bard","given":"Terry R.","non-dropping-particle":"","parse-names":false,"suffix":""}],"container-title":"The journal of pastoral care &amp; counseling : JPCC","id":"ITEM-1","issue":"2","issued":{"date-parts":[["2020","6","1"]]},"page":"81","publisher":"NLM (Medline)","title":"COVID-19 and a New Normal?","type":"article","volume":"74"},"uris":["http://www.mendeley.com/documents/?uuid=f7391d13-0964-3fa3-8559-842133a6792f"]}],"mendeley":{"formattedCitation":"(Bard, 2020)","plainTextFormattedCitation":"(Bard, 2020)","previouslyFormattedCitation":"(Bard, 2020)"},"properties":{"noteIndex":0},"schema":"https://github.com/citation-style-language/schema/raw/master/csl-citation.json"}</w:instrText>
      </w:r>
      <w:r w:rsidR="00DF341A" w:rsidRPr="00C97206">
        <w:rPr>
          <w:rFonts w:ascii="Tahoma" w:hAnsi="Tahoma" w:cs="Tahoma"/>
          <w:sz w:val="20"/>
          <w:szCs w:val="20"/>
        </w:rPr>
        <w:fldChar w:fldCharType="separate"/>
      </w:r>
      <w:r w:rsidR="00DF341A" w:rsidRPr="00C97206">
        <w:rPr>
          <w:rFonts w:ascii="Tahoma" w:hAnsi="Tahoma" w:cs="Tahoma"/>
          <w:noProof/>
          <w:sz w:val="20"/>
          <w:szCs w:val="20"/>
        </w:rPr>
        <w:t>(Bard, 2020)</w:t>
      </w:r>
      <w:r w:rsidR="00DF341A" w:rsidRPr="00C97206">
        <w:rPr>
          <w:rFonts w:ascii="Tahoma" w:hAnsi="Tahoma" w:cs="Tahoma"/>
          <w:sz w:val="20"/>
          <w:szCs w:val="20"/>
        </w:rPr>
        <w:fldChar w:fldCharType="end"/>
      </w:r>
    </w:p>
    <w:p w:rsidR="003A1DEF" w:rsidRPr="00C97206" w:rsidRDefault="003A1DEF" w:rsidP="003A1DEF">
      <w:pPr>
        <w:spacing w:after="0" w:line="240" w:lineRule="auto"/>
        <w:ind w:firstLine="426"/>
        <w:jc w:val="both"/>
        <w:rPr>
          <w:rFonts w:ascii="Tahoma" w:hAnsi="Tahoma" w:cs="Tahoma"/>
          <w:sz w:val="20"/>
          <w:szCs w:val="20"/>
        </w:rPr>
      </w:pPr>
    </w:p>
    <w:p w:rsidR="00DF341A" w:rsidRPr="00C97206" w:rsidRDefault="00DF341A" w:rsidP="003A1DEF">
      <w:pPr>
        <w:spacing w:after="0" w:line="240" w:lineRule="auto"/>
        <w:ind w:firstLine="426"/>
        <w:jc w:val="both"/>
        <w:rPr>
          <w:rFonts w:ascii="Tahoma" w:hAnsi="Tahoma" w:cs="Tahoma"/>
          <w:sz w:val="20"/>
          <w:szCs w:val="20"/>
        </w:rPr>
      </w:pPr>
      <w:r w:rsidRPr="00C97206">
        <w:rPr>
          <w:rFonts w:ascii="Tahoma" w:hAnsi="Tahoma" w:cs="Tahoma"/>
          <w:sz w:val="20"/>
          <w:szCs w:val="20"/>
        </w:rPr>
        <w:t xml:space="preserve">Dalam Peraturan Menteri Kesehatan (Permenkes) Nomor 9 Tahun 2020, disebutkan bahwa PSBB adalah pembatasan kegiatan tertentu penduduk dalam suatu wilayah yang terduga terinfeksi Corona </w:t>
      </w:r>
      <w:r w:rsidRPr="00C97206">
        <w:rPr>
          <w:rFonts w:ascii="Tahoma" w:hAnsi="Tahoma" w:cs="Tahoma"/>
          <w:sz w:val="20"/>
          <w:szCs w:val="20"/>
        </w:rPr>
        <w:lastRenderedPageBreak/>
        <w:t>Virus Disease 2019 (COVID-19) sedemikian rupa untuk mencegah Corona Virus Disease 2019 (COVID-19). 2  Penetapan PSBB yang dilakukan oleh pemerintah Indonesia memiliki dasar pertimbangan seperti epidemiologis, besarnya ancaman, efektivitas, dukungan sumber daya, teknis operasional, pertimbangan ekonomi, sosial, budaya dan keamanan.   PSBB yang telah dikeluarkan oleh pemerintah memiliki lingkup yaitu:  1. Peliburan sekolah dan tempat kerja  2. Pembatasan kegiatan keagamaan, sosial budaya di tempat umum atau fasilitas umum  3. Moda transportasi  4. Kegiatan lainnya khusus terkait aspek pertahanan dan keamanan  Namun pemerintah tetap membiarkan layanan-layanan tertentu untuk tetap berjalan seperti biasa di antaranya adalah supermarket, pasar/toko penjualan obat-obatan dan peralatan medis, kebutuhan pangan, bahan pokok, barang penting, bahan bakar minyak, gas dan energi, pelayanan kesehatan dan kegiatan olahraga, transportasi umum dan berpedoman pada pembatasan kerumunan dan protokol yang berlaku. Penerapan PSBB yang dilakukan oleh pemerintah Indonesia dilihat sebagai upaya untuk membatasi pergerakan serta atau masyarakat untuk mengurangi risiko dari penyebaran virus corona yang semakin meluas. Dengan diterbitkannya kebijakan PSBB oleh pemerintah Indonesia maka suatu daerah atau wilayah yang telah ditetapkan PSBB harus mengurangi segala kegiatan yang dilakukan di luar rumah. Dengan adanya cara ini diharapkan dapat menurunkan jumlah pasien positif corona di Indonesia</w:t>
      </w:r>
    </w:p>
    <w:p w:rsidR="00DF341A" w:rsidRPr="00C97206" w:rsidRDefault="00DF341A" w:rsidP="00DF341A">
      <w:pPr>
        <w:spacing w:after="0" w:line="240" w:lineRule="auto"/>
        <w:ind w:firstLine="426"/>
        <w:jc w:val="both"/>
        <w:rPr>
          <w:rFonts w:ascii="Tahoma" w:hAnsi="Tahoma" w:cs="Tahoma"/>
          <w:sz w:val="20"/>
          <w:szCs w:val="20"/>
        </w:rPr>
      </w:pPr>
      <w:r w:rsidRPr="00C97206">
        <w:rPr>
          <w:rFonts w:ascii="Tahoma" w:hAnsi="Tahoma" w:cs="Tahoma"/>
          <w:sz w:val="20"/>
          <w:szCs w:val="20"/>
        </w:rPr>
        <w:t>Ada dugaan bahwa keinginan melonggarkan PSBB ini sebetulnya mengikuti tren negara lain yang bisa dikatakan berhasil meredam corona, seperti Taiwan, Jepang, dan Swedia. Tiga negara tersebut sudah berhasil meminimalisasi transmisi lokal di wilayah mereka. Sedangkan, hal tersebut belum bisa dibuktikan berhasil di Indonesia</w:t>
      </w:r>
    </w:p>
    <w:p w:rsidR="003A1DEF" w:rsidRPr="00C97206" w:rsidRDefault="00DF341A" w:rsidP="003A1DEF">
      <w:pPr>
        <w:spacing w:after="0" w:line="240" w:lineRule="auto"/>
        <w:ind w:firstLine="426"/>
        <w:jc w:val="both"/>
        <w:rPr>
          <w:rFonts w:ascii="Tahoma" w:hAnsi="Tahoma" w:cs="Tahoma"/>
          <w:sz w:val="20"/>
          <w:szCs w:val="20"/>
        </w:rPr>
      </w:pPr>
      <w:r w:rsidRPr="00C97206">
        <w:rPr>
          <w:rFonts w:ascii="Tahoma" w:hAnsi="Tahoma" w:cs="Tahoma"/>
          <w:sz w:val="20"/>
          <w:szCs w:val="20"/>
        </w:rPr>
        <w:t>Kondisi di Indonesia diperparah dengan tidak disiplinnya masyarakat. Kerumunan masih banyak dijumpai di banyak tempat, termasuk pusat perbelanjaan terutama jelang hari raya beberapa hari terakhir</w:t>
      </w:r>
      <w:r w:rsidR="00C97206">
        <w:rPr>
          <w:rFonts w:ascii="Tahoma" w:hAnsi="Tahoma" w:cs="Tahoma"/>
          <w:sz w:val="20"/>
          <w:szCs w:val="20"/>
        </w:rPr>
        <w:t xml:space="preserve"> </w:t>
      </w:r>
      <w:r w:rsidRPr="00C97206">
        <w:rPr>
          <w:rFonts w:ascii="Tahoma" w:hAnsi="Tahoma" w:cs="Tahoma"/>
          <w:sz w:val="20"/>
          <w:szCs w:val="20"/>
        </w:rPr>
        <w:t xml:space="preserve"> </w:t>
      </w:r>
      <w:r w:rsidRPr="00C97206">
        <w:rPr>
          <w:rFonts w:ascii="Tahoma" w:hAnsi="Tahoma" w:cs="Tahoma"/>
          <w:sz w:val="20"/>
          <w:szCs w:val="20"/>
        </w:rPr>
        <w:fldChar w:fldCharType="begin" w:fldLock="1"/>
      </w:r>
      <w:r w:rsidR="00030DCA" w:rsidRPr="00C97206">
        <w:rPr>
          <w:rFonts w:ascii="Tahoma" w:hAnsi="Tahoma" w:cs="Tahoma"/>
          <w:sz w:val="20"/>
          <w:szCs w:val="20"/>
        </w:rPr>
        <w:instrText>ADDIN CSL_CITATION {"citationItems":[{"id":"ITEM-1","itemData":{"abstract":"Pelonggaran ini sebagai bentuk new normal. New normal sendiri merupakan perubahan perilaku manusia setelah adanya pandemi Covid-19 dengan menerapkan protokol kesehatan yang sudah dianjurkan. Selain menuai pro dan kontra, new normal dinilai terlalu buru – buru untuk diterapkan karena Indonesia belum memiliki syarat mutlak untuk melakukan pelonggaran.","author":[{"dropping-particle":"","family":"Vitalio","given":"Kasiano","non-dropping-particle":"","parse-names":false,"suffix":""},{"dropping-particle":"","family":"Turnip","given":"Ronaldo C.P","non-dropping-particle":"","parse-names":false,"suffix":""},{"dropping-particle":"","family":"Louis IX King","given":"","non-dropping-particle":"","parse-names":false,"suffix":""}],"container-title":"Bem Usd 2020","id":"ITEM-1","issued":{"date-parts":[["2020"]]},"page":"1-12","title":"Peringatan Dini, New Normal di Indonesia Bisa Prematur","type":"article-journal"},"uris":["http://www.mendeley.com/documents/?uuid=2c2e0547-5de6-33db-9f2b-40d8d3d23f61"]}],"mendeley":{"formattedCitation":"(Vitalio, Turnip, &amp; Louis IX King, 2020)","plainTextFormattedCitation":"(Vitalio, Turnip, &amp; Louis IX King, 2020)","previouslyFormattedCitation":"(Vitalio, Turnip, &amp; Louis IX King, 2020)"},"properties":{"noteIndex":0},"schema":"https://github.com/citation-style-language/schema/raw/master/csl-citation.json"}</w:instrText>
      </w:r>
      <w:r w:rsidRPr="00C97206">
        <w:rPr>
          <w:rFonts w:ascii="Tahoma" w:hAnsi="Tahoma" w:cs="Tahoma"/>
          <w:sz w:val="20"/>
          <w:szCs w:val="20"/>
        </w:rPr>
        <w:fldChar w:fldCharType="separate"/>
      </w:r>
      <w:r w:rsidRPr="00C97206">
        <w:rPr>
          <w:rFonts w:ascii="Tahoma" w:hAnsi="Tahoma" w:cs="Tahoma"/>
          <w:noProof/>
          <w:sz w:val="20"/>
          <w:szCs w:val="20"/>
        </w:rPr>
        <w:t>(Vitalio, Turnip, &amp; Louis IX King, 2020)</w:t>
      </w:r>
      <w:r w:rsidRPr="00C97206">
        <w:rPr>
          <w:rFonts w:ascii="Tahoma" w:hAnsi="Tahoma" w:cs="Tahoma"/>
          <w:sz w:val="20"/>
          <w:szCs w:val="20"/>
        </w:rPr>
        <w:fldChar w:fldCharType="end"/>
      </w:r>
    </w:p>
    <w:p w:rsidR="00110B94" w:rsidRPr="00C97206" w:rsidRDefault="00110B94" w:rsidP="0081323C">
      <w:pPr>
        <w:spacing w:after="0" w:line="360" w:lineRule="auto"/>
        <w:ind w:firstLine="426"/>
        <w:jc w:val="both"/>
        <w:rPr>
          <w:rFonts w:ascii="Tahoma" w:hAnsi="Tahoma" w:cs="Tahoma"/>
          <w:sz w:val="20"/>
          <w:szCs w:val="20"/>
        </w:rPr>
      </w:pPr>
    </w:p>
    <w:p w:rsidR="00030DCA" w:rsidRPr="00C97206" w:rsidRDefault="00030DCA"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This study showed that the majority of the respondents had a good attitude, meaning they were aware of the importance of social distancing. </w:t>
      </w:r>
      <w:r w:rsidR="00C97206">
        <w:rPr>
          <w:rFonts w:ascii="Tahoma" w:hAnsi="Tahoma" w:cs="Tahoma"/>
          <w:sz w:val="20"/>
          <w:szCs w:val="20"/>
        </w:rPr>
        <w:t xml:space="preserve"> </w:t>
      </w:r>
      <w:r w:rsidRPr="00C97206">
        <w:rPr>
          <w:rFonts w:ascii="Tahoma" w:hAnsi="Tahoma" w:cs="Tahoma"/>
          <w:sz w:val="20"/>
          <w:szCs w:val="20"/>
        </w:rPr>
        <w:t xml:space="preserve">This is the first study in Indonesia to identify knowledge, attitude and behavior towards social distancing. This study explained that a positive attitude results in good behavior. Attitude is an action of positive or negative tendency related to psychological objects. Real attitude shows the connotations of the suitability of reactions to certain stimuli, which in everyday life are emotional reactions. According to Thurston (1928), attitude as an action of a positive or negative tendency is associated with psychological objects. Actual attitudes show the connotation of the suitability of reactions to certain stimuli which in everyday life are emotional reactions to social stimuli. Attitude is the readiness to react to objects in a particular environment as a recognition of the objects. Therefore, conducting social distancing requires the community’s readiness. </w:t>
      </w:r>
    </w:p>
    <w:p w:rsidR="00030DCA" w:rsidRPr="00C97206" w:rsidRDefault="00030DCA"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Attitude is one of the variables that influence intention. Attitude towards behavior is one of the strong determinants of a weak intention to behave. A positive attitude towards behavior will increase the intention to behave and recognition of the behavior. Conversely, a negative attitude toward behavior will reduce the intention to behave and recognition of the behavior (Huda et al., 2012). This finding is consistent with the results of this study which showed that the Indonesian community had a positive attitude along with good behavior. Indeed, the influence of attitude on behavior is reinforced through intention. In addition to perceived behavior control, a positive attitude influences strong intention to perform social distancing in the community. </w:t>
      </w:r>
      <w:r w:rsidRPr="00C97206">
        <w:rPr>
          <w:rFonts w:ascii="Tahoma" w:hAnsi="Tahoma" w:cs="Tahoma"/>
          <w:sz w:val="20"/>
          <w:szCs w:val="20"/>
        </w:rPr>
        <w:fldChar w:fldCharType="begin" w:fldLock="1"/>
      </w:r>
      <w:r w:rsidR="007C0C51" w:rsidRPr="00C97206">
        <w:rPr>
          <w:rFonts w:ascii="Tahoma" w:hAnsi="Tahoma" w:cs="Tahoma"/>
          <w:sz w:val="20"/>
          <w:szCs w:val="20"/>
        </w:rPr>
        <w:instrText>ADDIN CSL_CITATION {"citationItems":[{"id":"ITEM-1","itemData":{"DOI":"10.20473/jaki.v8i2.2020.4-14","ISSN":"2303-3592","abstract":"Background: Coronavirus Disease 2019 (COVID-19) caused by SARS-CoV2 recently became a pandemic worldwide, such as in Indonesia. Social distancing is one of the recommended mitigations to reduce the risk of disasters, such as morbidity and mortality caused by COVID-19. Community compliance with social distancing is a part of the pandemic control.Aims: This study identified knowledge, attitudes, and behavior towards the prevention of SARS-CoV-2 transmission through social distancing during COVID-19 pandemic among Indonesian community.Methods: This descriptive study applied a cross-sectional design and distributed closed questions with online  questionnaire randomly to 34 provinces in Indonesia on social media networks and e-mail. This study successfully collected 1,102 respondents from 29 provinces in Indonesia. The data were analyzed descriptively by calculating frequency, percentage, and cross-tabulation.Results: This study had successfully identified  99%, 59%, and 93% of respondents with good knowledge, positive attitudes, and good behavior respectively towards  social distancing..Among the respondents who had good knowledge showed positive attitudes (58.85%) and good behavior (93.3%). The respondents who had positive attitudes showed good behavior (96.7%).behaviorConclusion: Indonesian community had good knowledge, attitude and behavior towards social distancing as a way to prevent the virus transmission. This strongly supports disaster mitigation in controlling the COVID-19 pandemic in Indonesia. Keywords: attitudes, behavior, COVID-19, knowledge, social distancing.","author":[{"dropping-particle":"","family":"Yanti","given":"Budi","non-dropping-particle":"","parse-names":false,"suffix":""},{"dropping-particle":"","family":"Wahyudi","given":"Eko","non-dropping-particle":"","parse-names":false,"suffix":""},{"dropping-particle":"","family":"Wahiduddin","given":"Wahiduddin","non-dropping-particle":"","parse-names":false,"suffix":""},{"dropping-particle":"","family":"Novika","given":"Revi Gama Hatta","non-dropping-particle":"","parse-names":false,"suffix":""},{"dropping-particle":"","family":"Arina","given":"Yuliana Mahdiyah Da’at","non-dropping-particle":"","parse-names":false,"suffix":""},{"dropping-particle":"","family":"Martani","given":"Natalia Sri","non-dropping-particle":"","parse-names":false,"suffix":""},{"dropping-particle":"","family":"Nawan","given":"Nawan","non-dropping-particle":"","parse-names":false,"suffix":""}],"container-title":"Jurnal Administrasi Kesehatan Indonesia","id":"ITEM-1","issue":"2","issued":{"date-parts":[["2020","6","17"]]},"page":"4-14","publisher":"Universitas Airlangga","title":"COMMUNITY KNOWLEDGE, ATTITUDES, AND BEHAVIOR TOWARDS SOCIAL DISTANCING POLICY AS PREVENTION TRANSMISSION OF COVID-19 IN INDONESIA","type":"article-journal","volume":"8"},"uris":["http://www.mendeley.com/documents/?uuid=0605d132-250a-318a-b3d4-6645d540e9cb"]}],"mendeley":{"formattedCitation":"(Yanti et al., 2020)","plainTextFormattedCitation":"(Yanti et al., 2020)","previouslyFormattedCitation":"(Yanti et al., 2020)"},"properties":{"noteIndex":0},"schema":"https://github.com/citation-style-language/schema/raw/master/csl-citation.json"}</w:instrText>
      </w:r>
      <w:r w:rsidRPr="00C97206">
        <w:rPr>
          <w:rFonts w:ascii="Tahoma" w:hAnsi="Tahoma" w:cs="Tahoma"/>
          <w:sz w:val="20"/>
          <w:szCs w:val="20"/>
        </w:rPr>
        <w:fldChar w:fldCharType="separate"/>
      </w:r>
      <w:r w:rsidRPr="00C97206">
        <w:rPr>
          <w:rFonts w:ascii="Tahoma" w:hAnsi="Tahoma" w:cs="Tahoma"/>
          <w:noProof/>
          <w:sz w:val="20"/>
          <w:szCs w:val="20"/>
        </w:rPr>
        <w:t>(Yanti et al., 2020)</w:t>
      </w:r>
      <w:r w:rsidRPr="00C97206">
        <w:rPr>
          <w:rFonts w:ascii="Tahoma" w:hAnsi="Tahoma" w:cs="Tahoma"/>
          <w:sz w:val="20"/>
          <w:szCs w:val="20"/>
        </w:rPr>
        <w:fldChar w:fldCharType="end"/>
      </w:r>
    </w:p>
    <w:p w:rsidR="00030DCA" w:rsidRPr="00C97206" w:rsidRDefault="00030DCA" w:rsidP="00030DCA">
      <w:pPr>
        <w:spacing w:after="0" w:line="240" w:lineRule="auto"/>
        <w:ind w:firstLine="426"/>
        <w:jc w:val="both"/>
        <w:rPr>
          <w:rFonts w:ascii="Tahoma" w:hAnsi="Tahoma" w:cs="Tahoma"/>
          <w:sz w:val="20"/>
          <w:szCs w:val="20"/>
        </w:rPr>
      </w:pPr>
    </w:p>
    <w:p w:rsidR="00030DCA" w:rsidRPr="00C97206" w:rsidRDefault="0054590C"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Face masks have become an emblem of the public response to COVID-19, with many governments mandating their use in public spaces. The logic is that face masks are low cost and might help prevent some transmission. However, from the start, the assumption that face masks are “low cost” was questioned. Early on, there were warnings of the opportunity cost of public use of medical masks given shortages of personal protective equipment for healthcare providers. This led to recommendations for cloth masks and other face coverings, with little evidence of their ability to prevent transmission. However, there may also be a high cost to these recommendations if people rely on face masks in place of other more effective ways to break transmission, such as staying home. We use SafeGraph smart device location data to show that the representative American in states that have face mask mandates spent 20-30 minutes less time at home, and increase visits to a number of commercial locations, following the mandate. Since the reproductive rate of SAR-COV2, </w:t>
      </w:r>
      <w:r w:rsidRPr="00C97206">
        <w:rPr>
          <w:rFonts w:ascii="Tahoma" w:hAnsi="Tahoma" w:cs="Tahoma"/>
          <w:sz w:val="20"/>
          <w:szCs w:val="20"/>
        </w:rPr>
        <w:lastRenderedPageBreak/>
        <w:t xml:space="preserve">the pathogen that causes COVID-19 is hovering right around one, such substitution behavior could be the difference between controlling the epidemic and a resurgence of cases. </w:t>
      </w:r>
    </w:p>
    <w:p w:rsidR="0054590C" w:rsidRPr="00C97206" w:rsidRDefault="0054590C" w:rsidP="00030DCA">
      <w:pPr>
        <w:spacing w:after="0" w:line="240" w:lineRule="auto"/>
        <w:ind w:firstLine="426"/>
        <w:jc w:val="both"/>
        <w:rPr>
          <w:rFonts w:ascii="Tahoma" w:hAnsi="Tahoma" w:cs="Tahoma"/>
          <w:sz w:val="20"/>
          <w:szCs w:val="20"/>
        </w:rPr>
      </w:pPr>
      <w:r w:rsidRPr="00C97206">
        <w:rPr>
          <w:rFonts w:ascii="Tahoma" w:hAnsi="Tahoma" w:cs="Tahoma"/>
          <w:sz w:val="20"/>
          <w:szCs w:val="20"/>
        </w:rPr>
        <w:t>Evidence suggests that staying home effectively reduced transmission. One concern with that conclusion</w:t>
      </w:r>
      <w:r w:rsidR="007C0C51" w:rsidRPr="00C97206">
        <w:rPr>
          <w:rFonts w:ascii="Tahoma" w:hAnsi="Tahoma" w:cs="Tahoma"/>
          <w:sz w:val="20"/>
          <w:szCs w:val="20"/>
        </w:rPr>
        <w:t xml:space="preserve"> </w:t>
      </w:r>
      <w:r w:rsidRPr="00C97206">
        <w:rPr>
          <w:rFonts w:ascii="Tahoma" w:hAnsi="Tahoma" w:cs="Tahoma"/>
          <w:sz w:val="20"/>
          <w:szCs w:val="20"/>
        </w:rPr>
        <w:t>is that it is easier to observe staying home behavior than hand-washing and face mask-wearing. Yet, the</w:t>
      </w:r>
      <w:r w:rsidR="007C0C51" w:rsidRPr="00C97206">
        <w:rPr>
          <w:rFonts w:ascii="Tahoma" w:hAnsi="Tahoma" w:cs="Tahoma"/>
          <w:sz w:val="20"/>
          <w:szCs w:val="20"/>
        </w:rPr>
        <w:t xml:space="preserve"> </w:t>
      </w:r>
      <w:r w:rsidRPr="00C97206">
        <w:rPr>
          <w:rFonts w:ascii="Tahoma" w:hAnsi="Tahoma" w:cs="Tahoma"/>
          <w:sz w:val="20"/>
          <w:szCs w:val="20"/>
        </w:rPr>
        <w:t>evidence of the effectiveness of face mask use by the general public on disease transmission is less</w:t>
      </w:r>
      <w:r w:rsidR="007C0C51" w:rsidRPr="00C97206">
        <w:rPr>
          <w:rFonts w:ascii="Tahoma" w:hAnsi="Tahoma" w:cs="Tahoma"/>
          <w:sz w:val="20"/>
          <w:szCs w:val="20"/>
        </w:rPr>
        <w:t xml:space="preserve"> </w:t>
      </w:r>
      <w:r w:rsidRPr="00C97206">
        <w:rPr>
          <w:rFonts w:ascii="Tahoma" w:hAnsi="Tahoma" w:cs="Tahoma"/>
          <w:sz w:val="20"/>
          <w:szCs w:val="20"/>
        </w:rPr>
        <w:t>conclusive. Furthermore, for face masks to be effective, they must be used correctly. This includes having</w:t>
      </w:r>
      <w:r w:rsidR="007C0C51" w:rsidRPr="00C97206">
        <w:rPr>
          <w:rFonts w:ascii="Tahoma" w:hAnsi="Tahoma" w:cs="Tahoma"/>
          <w:sz w:val="20"/>
          <w:szCs w:val="20"/>
        </w:rPr>
        <w:t xml:space="preserve"> </w:t>
      </w:r>
      <w:r w:rsidRPr="00C97206">
        <w:rPr>
          <w:rFonts w:ascii="Tahoma" w:hAnsi="Tahoma" w:cs="Tahoma"/>
          <w:sz w:val="20"/>
          <w:szCs w:val="20"/>
        </w:rPr>
        <w:t>a tight seal, which requires things like a clean shave, having one’s nose in the mask, and leaving the mask</w:t>
      </w:r>
      <w:r w:rsidR="007C0C51" w:rsidRPr="00C97206">
        <w:rPr>
          <w:rFonts w:ascii="Tahoma" w:hAnsi="Tahoma" w:cs="Tahoma"/>
          <w:sz w:val="20"/>
          <w:szCs w:val="20"/>
        </w:rPr>
        <w:t xml:space="preserve"> </w:t>
      </w:r>
      <w:r w:rsidRPr="00C97206">
        <w:rPr>
          <w:rFonts w:ascii="Tahoma" w:hAnsi="Tahoma" w:cs="Tahoma"/>
          <w:sz w:val="20"/>
          <w:szCs w:val="20"/>
        </w:rPr>
        <w:t>on while talking to someone. One need only look at images of mask-wearing in public to conclude that a</w:t>
      </w:r>
      <w:r w:rsidR="007C0C51" w:rsidRPr="00C97206">
        <w:rPr>
          <w:rFonts w:ascii="Tahoma" w:hAnsi="Tahoma" w:cs="Tahoma"/>
          <w:sz w:val="20"/>
          <w:szCs w:val="20"/>
        </w:rPr>
        <w:t xml:space="preserve"> </w:t>
      </w:r>
      <w:r w:rsidRPr="00C97206">
        <w:rPr>
          <w:rFonts w:ascii="Tahoma" w:hAnsi="Tahoma" w:cs="Tahoma"/>
          <w:sz w:val="20"/>
          <w:szCs w:val="20"/>
        </w:rPr>
        <w:t>non-trivial share of the mask wearers are not wearing them correctly or that the masks themselves are of</w:t>
      </w:r>
      <w:r w:rsidR="007C0C51" w:rsidRPr="00C97206">
        <w:rPr>
          <w:rFonts w:ascii="Tahoma" w:hAnsi="Tahoma" w:cs="Tahoma"/>
          <w:sz w:val="20"/>
          <w:szCs w:val="20"/>
        </w:rPr>
        <w:t xml:space="preserve"> </w:t>
      </w:r>
      <w:r w:rsidRPr="00C97206">
        <w:rPr>
          <w:rFonts w:ascii="Tahoma" w:hAnsi="Tahoma" w:cs="Tahoma"/>
          <w:sz w:val="20"/>
          <w:szCs w:val="20"/>
        </w:rPr>
        <w:t>questionable quality (i.e., bandannas). It is certainly possible that misused masks do not increase</w:t>
      </w:r>
      <w:r w:rsidR="007C0C51" w:rsidRPr="00C97206">
        <w:rPr>
          <w:rFonts w:ascii="Tahoma" w:hAnsi="Tahoma" w:cs="Tahoma"/>
          <w:sz w:val="20"/>
          <w:szCs w:val="20"/>
        </w:rPr>
        <w:t xml:space="preserve"> transmission, and may reduce it, holding other behaviors constant. The challenge is that the introduction of the wide use of face masks appears to alter those other behaviors. Our results suggest that wearing a mask needs to be as effective as all individuals in society reducing their time out of the house by approximately 4 percent or 20-30 minutes. Bayham et al. (2015) found that voluntary behavioral change of a similar magnitude reduced swine flu cases on the order of 10 percent. This is likely a lower bound for the value of an additional 20-30 minutes at home for reducing COVID-19 cases. Are face masks that effective? Our results provide a benchmark for future testing of the effectiveness of face masks in the general public. Messaging around behavioral interventions needs to be done carefully. Masks have been introduced. Our results should not be used as a justification for discouraging face mask use. Rather, extreme care must be taken when suggesting new behaviors that may be helpful in order to avoid replacing behaviors that are known to be helpful. The message to wear a face mask in public is at least suggestive that it is safer to resume public interactions with a mask. However, time in public is still riskier than time at home and can still enable transmission from asymptomatic individuals. Concerns about behavioral substitution are sometimes treated as curiosities. Requiring seat belts likely outweighs the damage from riskier driving and energy efficiency reduces carbon emissions even if it leads to more device use (Gillingham et al. 2013). Even encouraging condom use has likely prevented more cases of HIV, then the risk compensation generated. However, in the case of the highly contagious pathogens SAR-COV-2, which causes COVID-19, a small amount of risk compensation behavior could lead to an exponential increase in cases. The difference between a few trips with a mask and staying home, spread across the entire population could be the difference between the reproductive rate of the pathogen (R(t)) exceeding one, and renewed exponential growth, and a reproductive rate less than one and containing the epidemic. If people must go out, then it is probably advisable to wear a mask. However, the fact that people now own masks is likely making them more likely to even consider a trip to a warehouse club, a home improvement store, or a liquor store. Ultimately, these marginal trips could make the epidemic more difficult to bring under control. </w:t>
      </w:r>
      <w:r w:rsidR="007C0C51" w:rsidRPr="00C97206">
        <w:rPr>
          <w:rFonts w:ascii="Tahoma" w:hAnsi="Tahoma" w:cs="Tahoma"/>
          <w:sz w:val="20"/>
          <w:szCs w:val="20"/>
        </w:rPr>
        <w:fldChar w:fldCharType="begin" w:fldLock="1"/>
      </w:r>
      <w:r w:rsidR="00C8386C" w:rsidRPr="00C97206">
        <w:rPr>
          <w:rFonts w:ascii="Tahoma" w:hAnsi="Tahoma" w:cs="Tahoma"/>
          <w:sz w:val="20"/>
          <w:szCs w:val="20"/>
        </w:rPr>
        <w:instrText>ADDIN CSL_CITATION {"citationItems":[{"id":"ITEM-1","itemData":{"DOI":"10.1101/2020.05.23.20111302","abstract":"Face masks have become an emblem of the public response to COVID-19, with many governments mandating their use in public spaces. The logic is that face masks are low cost and might help prevent some transmission. However, from the start, the assumption that face masks are \"low cost\" was questioned. Early on, there were warnings of the opportunity cost of public use of medical masks given shortages of personal protective equipment for healthcare providers. This led to recommendations for cloth masks and other face coverings, with little evidence of their ability to prevent transmission. However, there may also be a high cost to these recommendations if people rely on face masks in place of other more effective ways to break transmission, such as staying home. We use SafeGraph smart device location data to show that the representative American in states that have face mask mandates spent 20-30 minutes less time at home, and increase visits to a number of commercial locations, following the mandate. Since the reproductive rate of SAR-COV2, the pathogen that causes COVID-19 is hovering right around one, such substitution behavior could be the difference between controlling the epidemic and a resurgence of cases.\n\n### Competing Interest Statement\n\nThe authors have declared no competing interest.\n\n### Funding Statement\n\nYY and EPF are supported by the Knobloch Family Foundation.\n\n###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below:\n\nIRB not required\n\nAll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author":[{"dropping-particle":"","family":"Yan","given":"Youpei","non-dropping-particle":"","parse-names":false,"suffix":""},{"dropping-particle":"","family":"Bayham","given":"Jude","non-dropping-particle":"","parse-names":false,"suffix":""},{"dropping-particle":"","family":"Fenichel","given":"Eli P","non-dropping-particle":"","parse-names":false,"suffix":""},{"dropping-particle":"","family":"Richter","given":"Aaron","non-dropping-particle":"","parse-names":false,"suffix":""}],"container-title":"medRxiv","id":"ITEM-1","issued":{"date-parts":[["2020"]]},"page":"2020.05.23.20111302","publisher":"Cold Spring Harbor Laboratory Press","title":"Do Face Masks Create a False Sense of Security? A COVID-19 Dilemma","type":"article-journal"},"uris":["http://www.mendeley.com/documents/?uuid=75ec93b2-a3e7-3b74-a6cd-fa605eb5efeb"]}],"mendeley":{"formattedCitation":"(Yan, Bayham, Fenichel, &amp; Richter, 2020)","plainTextFormattedCitation":"(Yan, Bayham, Fenichel, &amp; Richter, 2020)","previouslyFormattedCitation":"(Yan, Bayham, Fenichel, &amp; Richter, 2020)"},"properties":{"noteIndex":0},"schema":"https://github.com/citation-style-language/schema/raw/master/csl-citation.json"}</w:instrText>
      </w:r>
      <w:r w:rsidR="007C0C51" w:rsidRPr="00C97206">
        <w:rPr>
          <w:rFonts w:ascii="Tahoma" w:hAnsi="Tahoma" w:cs="Tahoma"/>
          <w:sz w:val="20"/>
          <w:szCs w:val="20"/>
        </w:rPr>
        <w:fldChar w:fldCharType="separate"/>
      </w:r>
      <w:r w:rsidR="007C0C51" w:rsidRPr="00C97206">
        <w:rPr>
          <w:rFonts w:ascii="Tahoma" w:hAnsi="Tahoma" w:cs="Tahoma"/>
          <w:noProof/>
          <w:sz w:val="20"/>
          <w:szCs w:val="20"/>
        </w:rPr>
        <w:t>(Yan, Bayham, Fenichel, &amp; Richter, 2020)</w:t>
      </w:r>
      <w:r w:rsidR="007C0C51" w:rsidRPr="00C97206">
        <w:rPr>
          <w:rFonts w:ascii="Tahoma" w:hAnsi="Tahoma" w:cs="Tahoma"/>
          <w:sz w:val="20"/>
          <w:szCs w:val="20"/>
        </w:rPr>
        <w:fldChar w:fldCharType="end"/>
      </w:r>
      <w:r w:rsidR="00C8386C" w:rsidRPr="00C97206">
        <w:rPr>
          <w:rFonts w:ascii="Tahoma" w:hAnsi="Tahoma" w:cs="Tahoma"/>
          <w:sz w:val="20"/>
          <w:szCs w:val="20"/>
        </w:rPr>
        <w:t xml:space="preserve"> </w:t>
      </w:r>
    </w:p>
    <w:p w:rsidR="00C8386C" w:rsidRPr="00C97206" w:rsidRDefault="00C8386C" w:rsidP="00030DCA">
      <w:pPr>
        <w:spacing w:after="0" w:line="240" w:lineRule="auto"/>
        <w:ind w:firstLine="426"/>
        <w:jc w:val="both"/>
        <w:rPr>
          <w:rFonts w:ascii="Tahoma" w:hAnsi="Tahoma" w:cs="Tahoma"/>
          <w:sz w:val="20"/>
          <w:szCs w:val="20"/>
        </w:rPr>
      </w:pPr>
    </w:p>
    <w:p w:rsidR="0054590C" w:rsidRPr="00C97206" w:rsidRDefault="00C8386C"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Although digital communications, in particular social media, generate social capital,8 2 important caveats must be considered. First, previous research investigating social media and social capital took place under normal circumstances, when individuals had access to both online and offline forms of communication. Although social media has been linked to social capital in that context, existing research does not address that connection in the current context of reduced face-to-face communication. Second, online and offline social capital, while related, are distinct phenomena.9 Whereas offline social capital has been the subject of decades of inquiry, online social capital is a relatively new phenomenon and has not (to date) received the same level of scholarly attention. </w:t>
      </w:r>
    </w:p>
    <w:p w:rsidR="00531218" w:rsidRPr="00C97206" w:rsidRDefault="00531218"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The deficiencies in social capital documented by Putnam, and exacerbated by physical distancing, also have direct implications for adherence to specific protective behaviors that are critical to flattening the COVID-19 epidemic curve. During the H1N1 pandemic, social capital (measured through trust in government and interpersonal contacts and feelings of mutual obligation, reciprocity, and social cohesion) emerged as a predictor of behaviors such as intention to vaccinate, handwashing, and wearing a face mask.2,3 Because protective measures during the COVID-19 pandemic rely on adherence by symptomatic and asymptomatic individuals alike, the same features of social capital are integral to adherence. Unfortunately, trust in government, which was already at historic lows,11 has been further undermined during the pandemic.12 This lack of trust in government— the result of misinformation and missteps at the federal level13— reduces adherence to protective measures and ultimately weakens the public health response to the pandemi </w:t>
      </w:r>
    </w:p>
    <w:p w:rsidR="00531218" w:rsidRPr="00C97206" w:rsidRDefault="00531218" w:rsidP="00030DCA">
      <w:pPr>
        <w:spacing w:after="0" w:line="240" w:lineRule="auto"/>
        <w:ind w:firstLine="426"/>
        <w:jc w:val="both"/>
        <w:rPr>
          <w:rFonts w:ascii="Tahoma" w:hAnsi="Tahoma" w:cs="Tahoma"/>
          <w:sz w:val="20"/>
          <w:szCs w:val="20"/>
        </w:rPr>
      </w:pPr>
    </w:p>
    <w:p w:rsidR="00C8386C" w:rsidRPr="00C97206" w:rsidRDefault="00C8386C"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1. Individuals, communities, and government institutions should focus on building and maintaining a variety of social ties during the present crisis. Social capital, of all forms, will increase adherence to, and improve the efficacy of, physical distancing and other protective behaviors.2,3 Recognizing the extended length of this disaster, with no discrete end in sight, sustainability of response and recovery efforts is also a paramount concern, which if past disasters are any indication, will hinge to some degree on social capital.1,2,4 Social connections—with immediate household members, fellow members of the local community, and Americans from diverse and disparate backgrounds—will be critical in our collective response to COVID-19. </w:t>
      </w:r>
    </w:p>
    <w:p w:rsidR="00C8386C" w:rsidRPr="00C97206" w:rsidRDefault="00C8386C"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2. Digital mediated communication tools must play a larger role in generating social capital during the current pandemic.8 Although the effects of social media– based social capital are less well understood,9 digital and other mediated forms of communication must be utilized as a means of creating and nurturing socialconnections. Platforms such as Facebook, Twitter, and Instagram are already using their reach to spread curated, factual information about the pandemic and actively removing potentially harmful misinformation. Schools and workplaces are also turning to remote connections in an unprecedented fashion. With limited access to social environments such as schools, workplaces, parks, and other public spaces, we must effectively leverage the digital commons as never before. This dependence on digital communication also provides a powerful context for further examination of the effects of social mediabased social capital, specifically in this unique context where face-to-face interactions are necessarily limited.    </w:t>
      </w:r>
    </w:p>
    <w:p w:rsidR="0054590C" w:rsidRPr="00C97206" w:rsidRDefault="00C8386C"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3. Finally, we must learn from the effects of the current crisis and prepare for future disaster scenarios. The impacts of COVID-19 on social capital, and the role of social capital in responding to COVID-19, must be the subject of rigorous, ongoing research. Just as previous epidemic and pandemic scenarios have provided critical information in use today,2,3 lessons learned from COVID-19 must be incorporated into the disaster response cycle. It is not a question of if future pandemics will arise, but rather when. A more thorough understanding of effective strategies for building and maintaining social capital during periods of social isolation using digital communication tools, will be a valuable tool in future crises. As confirmed by the current crisis, and countless others before, the time to prepare is before the water begins to rise, rather than when the levee breaks </w:t>
      </w:r>
      <w:r w:rsidRPr="00C97206">
        <w:rPr>
          <w:rFonts w:ascii="Tahoma" w:hAnsi="Tahoma" w:cs="Tahoma"/>
          <w:sz w:val="20"/>
          <w:szCs w:val="20"/>
        </w:rPr>
        <w:fldChar w:fldCharType="begin" w:fldLock="1"/>
      </w:r>
      <w:r w:rsidR="004E1E3F" w:rsidRPr="00C97206">
        <w:rPr>
          <w:rFonts w:ascii="Tahoma" w:hAnsi="Tahoma" w:cs="Tahoma"/>
          <w:sz w:val="20"/>
          <w:szCs w:val="20"/>
        </w:rPr>
        <w:instrText>ADDIN CSL_CITATION {"citationItems":[{"id":"ITEM-1","itemData":{"DOI":"10.1177/0890117120924531","ISSN":"08901171","PMID":"32394721","abstract":"Social capital provides a number of benefits during crisis scenarios, and high social capital communities respond more efficaciously than those with low social capital. With this in mind, we argue that the response to and recovery from the COVID-19 pandemic may be hampered in many American communities by deficiencies or disruptions in social capital brought about by physical distancing. Drawing on evidence from past crises, we recommend individuals, communities, and government institutions work to strengthen and expand social networks. A failure to do so will exact a toll in terms of human morbidity and mortality and exacerbate the current disaster.","author":[{"dropping-particle":"","family":"Pitas","given":"Nicholas","non-dropping-particle":"","parse-names":false,"suffix":""},{"dropping-particle":"","family":"Ehmer","given":"Colin","non-dropping-particle":"","parse-names":false,"suffix":""}],"container-title":"American Journal of Health Promotion","id":"ITEM-1","issued":{"date-parts":[["2020"]]},"publisher":"SAGE Publications Inc.","title":"Social Capital in the Response to COVID-19","type":"article-journal"},"uris":["http://www.mendeley.com/documents/?uuid=3b0cf6c0-f53d-3b5a-8e4f-d827683febf2"]}],"mendeley":{"formattedCitation":"(Pitas &amp; Ehmer, 2020)","plainTextFormattedCitation":"(Pitas &amp; Ehmer, 2020)","previouslyFormattedCitation":"(Pitas &amp; Ehmer, 2020)"},"properties":{"noteIndex":0},"schema":"https://github.com/citation-style-language/schema/raw/master/csl-citation.json"}</w:instrText>
      </w:r>
      <w:r w:rsidRPr="00C97206">
        <w:rPr>
          <w:rFonts w:ascii="Tahoma" w:hAnsi="Tahoma" w:cs="Tahoma"/>
          <w:sz w:val="20"/>
          <w:szCs w:val="20"/>
        </w:rPr>
        <w:fldChar w:fldCharType="separate"/>
      </w:r>
      <w:r w:rsidRPr="00C97206">
        <w:rPr>
          <w:rFonts w:ascii="Tahoma" w:hAnsi="Tahoma" w:cs="Tahoma"/>
          <w:noProof/>
          <w:sz w:val="20"/>
          <w:szCs w:val="20"/>
        </w:rPr>
        <w:t>(Pitas &amp; Ehmer, 2020)</w:t>
      </w:r>
      <w:r w:rsidRPr="00C97206">
        <w:rPr>
          <w:rFonts w:ascii="Tahoma" w:hAnsi="Tahoma" w:cs="Tahoma"/>
          <w:sz w:val="20"/>
          <w:szCs w:val="20"/>
        </w:rPr>
        <w:fldChar w:fldCharType="end"/>
      </w:r>
    </w:p>
    <w:p w:rsidR="0054590C" w:rsidRPr="00C97206" w:rsidRDefault="0054590C" w:rsidP="00030DCA">
      <w:pPr>
        <w:spacing w:after="0" w:line="240" w:lineRule="auto"/>
        <w:ind w:firstLine="426"/>
        <w:jc w:val="both"/>
        <w:rPr>
          <w:rFonts w:ascii="Tahoma" w:hAnsi="Tahoma" w:cs="Tahoma"/>
          <w:sz w:val="20"/>
          <w:szCs w:val="20"/>
        </w:rPr>
      </w:pPr>
    </w:p>
    <w:p w:rsidR="0054590C" w:rsidRPr="00C97206" w:rsidRDefault="005E0760" w:rsidP="00030DCA">
      <w:pPr>
        <w:spacing w:after="0" w:line="240" w:lineRule="auto"/>
        <w:ind w:firstLine="426"/>
        <w:jc w:val="both"/>
        <w:rPr>
          <w:rFonts w:ascii="Tahoma" w:hAnsi="Tahoma" w:cs="Tahoma"/>
          <w:sz w:val="20"/>
          <w:szCs w:val="20"/>
        </w:rPr>
      </w:pPr>
      <w:r w:rsidRPr="00C97206">
        <w:rPr>
          <w:rFonts w:ascii="Tahoma" w:hAnsi="Tahoma" w:cs="Tahoma"/>
          <w:sz w:val="20"/>
          <w:szCs w:val="20"/>
        </w:rPr>
        <w:t>The physical isolation component of</w:t>
      </w:r>
      <w:r w:rsidR="004E1E3F" w:rsidRPr="00C97206">
        <w:rPr>
          <w:rFonts w:ascii="Tahoma" w:hAnsi="Tahoma" w:cs="Tahoma"/>
          <w:sz w:val="20"/>
          <w:szCs w:val="20"/>
        </w:rPr>
        <w:t xml:space="preserve"> </w:t>
      </w:r>
      <w:r w:rsidRPr="00C97206">
        <w:rPr>
          <w:rFonts w:ascii="Tahoma" w:hAnsi="Tahoma" w:cs="Tahoma"/>
          <w:sz w:val="20"/>
          <w:szCs w:val="20"/>
        </w:rPr>
        <w:t>the concept is more than likely a negative factor, bringing noises to positive coping,</w:t>
      </w:r>
      <w:r w:rsidR="004E1E3F" w:rsidRPr="00C97206">
        <w:rPr>
          <w:rFonts w:ascii="Tahoma" w:hAnsi="Tahoma" w:cs="Tahoma"/>
          <w:sz w:val="20"/>
          <w:szCs w:val="20"/>
        </w:rPr>
        <w:t xml:space="preserve"> </w:t>
      </w:r>
      <w:r w:rsidRPr="00C97206">
        <w:rPr>
          <w:rFonts w:ascii="Tahoma" w:hAnsi="Tahoma" w:cs="Tahoma"/>
          <w:sz w:val="20"/>
          <w:szCs w:val="20"/>
        </w:rPr>
        <w:t>increasing negative coping, and lowering subjective wellbeing. However, intimate relations and informational diversity, the two social components of the concept, produce</w:t>
      </w:r>
      <w:r w:rsidR="004E1E3F" w:rsidRPr="00C97206">
        <w:rPr>
          <w:rFonts w:ascii="Tahoma" w:hAnsi="Tahoma" w:cs="Tahoma"/>
          <w:sz w:val="20"/>
          <w:szCs w:val="20"/>
        </w:rPr>
        <w:t xml:space="preserve"> </w:t>
      </w:r>
      <w:r w:rsidRPr="00C97206">
        <w:rPr>
          <w:rFonts w:ascii="Tahoma" w:hAnsi="Tahoma" w:cs="Tahoma"/>
          <w:sz w:val="20"/>
          <w:szCs w:val="20"/>
        </w:rPr>
        <w:t>highly consistent and positive results, increasing all measured behavioral responses and</w:t>
      </w:r>
      <w:r w:rsidR="004E1E3F" w:rsidRPr="00C97206">
        <w:rPr>
          <w:rFonts w:ascii="Tahoma" w:hAnsi="Tahoma" w:cs="Tahoma"/>
          <w:sz w:val="20"/>
          <w:szCs w:val="20"/>
        </w:rPr>
        <w:t xml:space="preserve"> </w:t>
      </w:r>
      <w:r w:rsidRPr="00C97206">
        <w:rPr>
          <w:rFonts w:ascii="Tahoma" w:hAnsi="Tahoma" w:cs="Tahoma"/>
          <w:sz w:val="20"/>
          <w:szCs w:val="20"/>
        </w:rPr>
        <w:t>quality life indicators. The most impressive findings are the significant and very large</w:t>
      </w:r>
      <w:r w:rsidR="004E1E3F" w:rsidRPr="00C97206">
        <w:rPr>
          <w:rFonts w:ascii="Tahoma" w:hAnsi="Tahoma" w:cs="Tahoma"/>
          <w:sz w:val="20"/>
          <w:szCs w:val="20"/>
        </w:rPr>
        <w:t xml:space="preserve"> </w:t>
      </w:r>
      <w:r w:rsidRPr="00C97206">
        <w:rPr>
          <w:rFonts w:ascii="Tahoma" w:hAnsi="Tahoma" w:cs="Tahoma"/>
          <w:sz w:val="20"/>
          <w:szCs w:val="20"/>
        </w:rPr>
        <w:t>effects of intimate relations on all seven dependent variables. These make it explicit that</w:t>
      </w:r>
      <w:r w:rsidR="004E1E3F" w:rsidRPr="00C97206">
        <w:rPr>
          <w:rFonts w:ascii="Tahoma" w:hAnsi="Tahoma" w:cs="Tahoma"/>
          <w:sz w:val="20"/>
          <w:szCs w:val="20"/>
        </w:rPr>
        <w:t xml:space="preserve"> </w:t>
      </w:r>
      <w:r w:rsidRPr="00C97206">
        <w:rPr>
          <w:rFonts w:ascii="Tahoma" w:hAnsi="Tahoma" w:cs="Tahoma"/>
          <w:sz w:val="20"/>
          <w:szCs w:val="20"/>
        </w:rPr>
        <w:t>core personal networks centered around and extended from the family are the single best source of social capital helping Chinese people combat the pandemic of</w:t>
      </w:r>
      <w:r w:rsidR="004E1E3F" w:rsidRPr="00C97206">
        <w:rPr>
          <w:rFonts w:ascii="Tahoma" w:hAnsi="Tahoma" w:cs="Tahoma"/>
          <w:sz w:val="20"/>
          <w:szCs w:val="20"/>
        </w:rPr>
        <w:t xml:space="preserve"> </w:t>
      </w:r>
      <w:r w:rsidRPr="00C97206">
        <w:rPr>
          <w:rFonts w:ascii="Tahoma" w:hAnsi="Tahoma" w:cs="Tahoma"/>
          <w:sz w:val="20"/>
          <w:szCs w:val="20"/>
        </w:rPr>
        <w:t>COVID-19.</w:t>
      </w:r>
      <w:r w:rsidR="004E1E3F" w:rsidRPr="00C97206">
        <w:rPr>
          <w:rFonts w:ascii="Tahoma" w:hAnsi="Tahoma" w:cs="Tahoma"/>
          <w:sz w:val="20"/>
          <w:szCs w:val="20"/>
        </w:rPr>
        <w:t xml:space="preserve"> </w:t>
      </w:r>
      <w:r w:rsidRPr="00C97206">
        <w:rPr>
          <w:rFonts w:ascii="Tahoma" w:hAnsi="Tahoma" w:cs="Tahoma"/>
          <w:sz w:val="20"/>
          <w:szCs w:val="20"/>
        </w:rPr>
        <w:t>The construction of virus-combat social capital has benefited from the literature on</w:t>
      </w:r>
      <w:r w:rsidR="004E1E3F" w:rsidRPr="00C97206">
        <w:rPr>
          <w:rFonts w:ascii="Tahoma" w:hAnsi="Tahoma" w:cs="Tahoma"/>
          <w:sz w:val="20"/>
          <w:szCs w:val="20"/>
        </w:rPr>
        <w:t xml:space="preserve"> </w:t>
      </w:r>
      <w:r w:rsidRPr="00C97206">
        <w:rPr>
          <w:rFonts w:ascii="Tahoma" w:hAnsi="Tahoma" w:cs="Tahoma"/>
          <w:sz w:val="20"/>
          <w:szCs w:val="20"/>
        </w:rPr>
        <w:t>tie-strength and social resources as measures of social capital, paying attention to the</w:t>
      </w:r>
      <w:r w:rsidR="004E1E3F" w:rsidRPr="00C97206">
        <w:rPr>
          <w:rFonts w:ascii="Tahoma" w:hAnsi="Tahoma" w:cs="Tahoma"/>
          <w:sz w:val="20"/>
          <w:szCs w:val="20"/>
        </w:rPr>
        <w:t xml:space="preserve"> </w:t>
      </w:r>
      <w:r w:rsidRPr="00C97206">
        <w:rPr>
          <w:rFonts w:ascii="Tahoma" w:hAnsi="Tahoma" w:cs="Tahoma"/>
          <w:sz w:val="20"/>
          <w:szCs w:val="20"/>
        </w:rPr>
        <w:t>bonding functions of intimate circles of strong ties and the bridging functions of distant</w:t>
      </w:r>
      <w:r w:rsidR="004E1E3F" w:rsidRPr="00C97206">
        <w:rPr>
          <w:rFonts w:ascii="Tahoma" w:hAnsi="Tahoma" w:cs="Tahoma"/>
          <w:sz w:val="20"/>
          <w:szCs w:val="20"/>
        </w:rPr>
        <w:t xml:space="preserve"> </w:t>
      </w:r>
      <w:r w:rsidRPr="00C97206">
        <w:rPr>
          <w:rFonts w:ascii="Tahoma" w:hAnsi="Tahoma" w:cs="Tahoma"/>
          <w:sz w:val="20"/>
          <w:szCs w:val="20"/>
        </w:rPr>
        <w:t>contacts of weak ties. Limited by an eight-minute online survey of WeChat networkers,</w:t>
      </w:r>
      <w:r w:rsidR="004E1E3F" w:rsidRPr="00C97206">
        <w:rPr>
          <w:rFonts w:ascii="Tahoma" w:hAnsi="Tahoma" w:cs="Tahoma"/>
          <w:sz w:val="20"/>
          <w:szCs w:val="20"/>
        </w:rPr>
        <w:t xml:space="preserve"> </w:t>
      </w:r>
      <w:r w:rsidRPr="00C97206">
        <w:rPr>
          <w:rFonts w:ascii="Tahoma" w:hAnsi="Tahoma" w:cs="Tahoma"/>
          <w:sz w:val="20"/>
          <w:szCs w:val="20"/>
        </w:rPr>
        <w:t>we did not intend to include measures of network structure, which would require extensive time investments from respondents to answer questions about connections among</w:t>
      </w:r>
      <w:r w:rsidR="004E1E3F" w:rsidRPr="00C97206">
        <w:rPr>
          <w:rFonts w:ascii="Tahoma" w:hAnsi="Tahoma" w:cs="Tahoma"/>
          <w:sz w:val="20"/>
          <w:szCs w:val="20"/>
        </w:rPr>
        <w:t xml:space="preserve"> </w:t>
      </w:r>
      <w:r w:rsidRPr="00C97206">
        <w:rPr>
          <w:rFonts w:ascii="Tahoma" w:hAnsi="Tahoma" w:cs="Tahoma"/>
          <w:sz w:val="20"/>
          <w:szCs w:val="20"/>
        </w:rPr>
        <w:t>named social contacts. Nevertheless, our survey findings imply the importance and</w:t>
      </w:r>
      <w:r w:rsidR="004E1E3F" w:rsidRPr="00C97206">
        <w:rPr>
          <w:rFonts w:ascii="Tahoma" w:hAnsi="Tahoma" w:cs="Tahoma"/>
          <w:sz w:val="20"/>
          <w:szCs w:val="20"/>
        </w:rPr>
        <w:t xml:space="preserve"> </w:t>
      </w:r>
      <w:r w:rsidRPr="00C97206">
        <w:rPr>
          <w:rFonts w:ascii="Tahoma" w:hAnsi="Tahoma" w:cs="Tahoma"/>
          <w:sz w:val="20"/>
          <w:szCs w:val="20"/>
        </w:rPr>
        <w:t>complementarity of network closure and network brokerage because intimate relations</w:t>
      </w:r>
      <w:r w:rsidR="004E1E3F" w:rsidRPr="00C97206">
        <w:rPr>
          <w:rFonts w:ascii="Tahoma" w:hAnsi="Tahoma" w:cs="Tahoma"/>
          <w:sz w:val="20"/>
          <w:szCs w:val="20"/>
        </w:rPr>
        <w:t xml:space="preserve"> </w:t>
      </w:r>
      <w:r w:rsidRPr="00C97206">
        <w:rPr>
          <w:rFonts w:ascii="Tahoma" w:hAnsi="Tahoma" w:cs="Tahoma"/>
          <w:sz w:val="20"/>
          <w:szCs w:val="20"/>
        </w:rPr>
        <w:t>and distant contacts jointly facilitate and strengthen an individual’s behavioral responses</w:t>
      </w:r>
      <w:r w:rsidR="004E1E3F" w:rsidRPr="00C97206">
        <w:rPr>
          <w:rFonts w:ascii="Tahoma" w:hAnsi="Tahoma" w:cs="Tahoma"/>
          <w:sz w:val="20"/>
          <w:szCs w:val="20"/>
        </w:rPr>
        <w:t xml:space="preserve"> </w:t>
      </w:r>
      <w:r w:rsidRPr="00C97206">
        <w:rPr>
          <w:rFonts w:ascii="Tahoma" w:hAnsi="Tahoma" w:cs="Tahoma"/>
          <w:sz w:val="20"/>
          <w:szCs w:val="20"/>
        </w:rPr>
        <w:t>to COVID-19 and jointly generate effective mental and physical anti-epidemic outcomes. Since the COVID-19 pandemic is anticipated to last long before the invention of</w:t>
      </w:r>
      <w:r w:rsidR="004E1E3F" w:rsidRPr="00C97206">
        <w:rPr>
          <w:rFonts w:ascii="Tahoma" w:hAnsi="Tahoma" w:cs="Tahoma"/>
          <w:sz w:val="20"/>
          <w:szCs w:val="20"/>
        </w:rPr>
        <w:t xml:space="preserve"> </w:t>
      </w:r>
      <w:r w:rsidRPr="00C97206">
        <w:rPr>
          <w:rFonts w:ascii="Tahoma" w:hAnsi="Tahoma" w:cs="Tahoma"/>
          <w:sz w:val="20"/>
          <w:szCs w:val="20"/>
        </w:rPr>
        <w:t>vaccines, and because new viruses may unfortunately affect human life in the future, the</w:t>
      </w:r>
      <w:r w:rsidR="004E1E3F" w:rsidRPr="00C97206">
        <w:rPr>
          <w:rFonts w:ascii="Tahoma" w:hAnsi="Tahoma" w:cs="Tahoma"/>
          <w:sz w:val="20"/>
          <w:szCs w:val="20"/>
        </w:rPr>
        <w:t xml:space="preserve"> </w:t>
      </w:r>
      <w:r w:rsidRPr="00C97206">
        <w:rPr>
          <w:rFonts w:ascii="Tahoma" w:hAnsi="Tahoma" w:cs="Tahoma"/>
          <w:sz w:val="20"/>
          <w:szCs w:val="20"/>
        </w:rPr>
        <w:t>concept of virus-combat social capital is of continuous significance to scholarship on</w:t>
      </w:r>
      <w:r w:rsidR="004E1E3F" w:rsidRPr="00C97206">
        <w:rPr>
          <w:rFonts w:ascii="Tahoma" w:hAnsi="Tahoma" w:cs="Tahoma"/>
          <w:sz w:val="20"/>
          <w:szCs w:val="20"/>
        </w:rPr>
        <w:t xml:space="preserve"> </w:t>
      </w:r>
      <w:r w:rsidRPr="00C97206">
        <w:rPr>
          <w:rFonts w:ascii="Tahoma" w:hAnsi="Tahoma" w:cs="Tahoma"/>
          <w:sz w:val="20"/>
          <w:szCs w:val="20"/>
        </w:rPr>
        <w:t>social mechanisms to fight against the viral spreading. It is in this regard that the China</w:t>
      </w:r>
      <w:r w:rsidR="004E1E3F" w:rsidRPr="00C97206">
        <w:rPr>
          <w:rFonts w:ascii="Tahoma" w:hAnsi="Tahoma" w:cs="Tahoma"/>
          <w:sz w:val="20"/>
          <w:szCs w:val="20"/>
        </w:rPr>
        <w:t xml:space="preserve"> </w:t>
      </w:r>
      <w:r w:rsidRPr="00C97206">
        <w:rPr>
          <w:rFonts w:ascii="Tahoma" w:hAnsi="Tahoma" w:cs="Tahoma"/>
          <w:sz w:val="20"/>
          <w:szCs w:val="20"/>
        </w:rPr>
        <w:t>case study reported here has established a benchmark for future cross-national analysis.</w:t>
      </w:r>
      <w:r w:rsidRPr="00C97206">
        <w:rPr>
          <w:rFonts w:ascii="Tahoma" w:hAnsi="Tahoma" w:cs="Tahoma"/>
          <w:sz w:val="20"/>
          <w:szCs w:val="20"/>
        </w:rPr>
        <w:cr/>
      </w:r>
      <w:r w:rsidR="004E1E3F" w:rsidRPr="00C97206">
        <w:rPr>
          <w:rFonts w:ascii="Tahoma" w:hAnsi="Tahoma" w:cs="Tahoma"/>
          <w:sz w:val="20"/>
          <w:szCs w:val="20"/>
        </w:rPr>
        <w:fldChar w:fldCharType="begin" w:fldLock="1"/>
      </w:r>
      <w:r w:rsidR="00BD0647" w:rsidRPr="00C97206">
        <w:rPr>
          <w:rFonts w:ascii="Tahoma" w:hAnsi="Tahoma" w:cs="Tahoma"/>
          <w:sz w:val="20"/>
          <w:szCs w:val="20"/>
        </w:rPr>
        <w:instrText>ADDIN CSL_CITATION {"citationItems":[{"id":"ITEM-1","itemData":{"DOI":"10.1080/00207659.2020.1802141","ISSN":"15579336","abstract":"This paper develops a new concept called virus-combat social capital and presents relevant findings from a survey of 3009 Chinese WeChat networkers. Virus-combat social capital is defined by the intensity and extensity of social connectedness under conditions of physical isolation during the COVID-19 pandemic. The survey shows that as compared to their counterparts, Chinese people with higher virus-combat social capital consistently do better in both behavioral responses and measures of quality of life.","author":[{"dropping-particle":"","family":"Bian","given":"Yanjie","non-dropping-particle":"","parse-names":false,"suffix":""},{"dropping-particle":"","family":"Miao","given":"Xiaolei","non-dropping-particle":"","parse-names":false,"suffix":""},{"dropping-particle":"","family":"Lu","given":"Xiaolin","non-dropping-particle":"","parse-names":false,"suffix":""},{"dropping-particle":"","family":"Ma","given":"Xulei","non-dropping-particle":"","parse-names":false,"suffix":""},{"dropping-particle":"","family":"Guo","given":"Xiaoxian","non-dropping-particle":"","parse-names":false,"suffix":""}],"container-title":"International Journal of Sociology","id":"ITEM-1","issued":{"date-parts":[["2020"]]},"publisher":"Routledge","title":"The Emergence of a COVID-19 Related Social Capital: The Case of China","type":"article-journal"},"uris":["http://www.mendeley.com/documents/?uuid=80b04479-9bdf-3c27-a9d9-36e3f76e9b65"]}],"mendeley":{"formattedCitation":"(Bian, Miao, Lu, Ma, &amp; Guo, 2020)","plainTextFormattedCitation":"(Bian, Miao, Lu, Ma, &amp; Guo, 2020)","previouslyFormattedCitation":"(Bian, Miao, Lu, Ma, &amp; Guo, 2020)"},"properties":{"noteIndex":0},"schema":"https://github.com/citation-style-language/schema/raw/master/csl-citation.json"}</w:instrText>
      </w:r>
      <w:r w:rsidR="004E1E3F" w:rsidRPr="00C97206">
        <w:rPr>
          <w:rFonts w:ascii="Tahoma" w:hAnsi="Tahoma" w:cs="Tahoma"/>
          <w:sz w:val="20"/>
          <w:szCs w:val="20"/>
        </w:rPr>
        <w:fldChar w:fldCharType="separate"/>
      </w:r>
      <w:r w:rsidR="004E1E3F" w:rsidRPr="00C97206">
        <w:rPr>
          <w:rFonts w:ascii="Tahoma" w:hAnsi="Tahoma" w:cs="Tahoma"/>
          <w:noProof/>
          <w:sz w:val="20"/>
          <w:szCs w:val="20"/>
        </w:rPr>
        <w:t>(Bian, Miao, Lu, Ma, &amp; Guo, 2020)</w:t>
      </w:r>
      <w:r w:rsidR="004E1E3F" w:rsidRPr="00C97206">
        <w:rPr>
          <w:rFonts w:ascii="Tahoma" w:hAnsi="Tahoma" w:cs="Tahoma"/>
          <w:sz w:val="20"/>
          <w:szCs w:val="20"/>
        </w:rPr>
        <w:fldChar w:fldCharType="end"/>
      </w:r>
    </w:p>
    <w:p w:rsidR="0054590C" w:rsidRPr="00C97206" w:rsidRDefault="0054590C" w:rsidP="00030DCA">
      <w:pPr>
        <w:spacing w:after="0" w:line="240" w:lineRule="auto"/>
        <w:ind w:firstLine="426"/>
        <w:jc w:val="both"/>
        <w:rPr>
          <w:rFonts w:ascii="Tahoma" w:hAnsi="Tahoma" w:cs="Tahoma"/>
          <w:sz w:val="20"/>
          <w:szCs w:val="20"/>
        </w:rPr>
      </w:pPr>
    </w:p>
    <w:p w:rsidR="00312C02" w:rsidRPr="00C97206" w:rsidRDefault="00312C02" w:rsidP="00312C02">
      <w:pPr>
        <w:spacing w:after="0" w:line="240" w:lineRule="auto"/>
        <w:ind w:firstLine="426"/>
        <w:jc w:val="both"/>
        <w:rPr>
          <w:rFonts w:ascii="Tahoma" w:hAnsi="Tahoma" w:cs="Tahoma"/>
          <w:sz w:val="20"/>
          <w:szCs w:val="20"/>
        </w:rPr>
      </w:pPr>
      <w:r w:rsidRPr="00C97206">
        <w:rPr>
          <w:rFonts w:ascii="Tahoma" w:hAnsi="Tahoma" w:cs="Tahoma"/>
          <w:sz w:val="20"/>
          <w:szCs w:val="20"/>
        </w:rPr>
        <w:t xml:space="preserve">The Coronavirus disease (COVID-19) is the first pandemic in history in which technology and social media are being used on a massive scale to keep people safe, informed, productive and connected. At the same time, the technology we rely on to keep connected and informed is enabling </w:t>
      </w:r>
      <w:r w:rsidRPr="00C97206">
        <w:rPr>
          <w:rFonts w:ascii="Tahoma" w:hAnsi="Tahoma" w:cs="Tahoma"/>
          <w:sz w:val="20"/>
          <w:szCs w:val="20"/>
        </w:rPr>
        <w:lastRenderedPageBreak/>
        <w:t xml:space="preserve">and amplifying an infodemic that continues to undermine the global response and jeopardizes measures to control the pandemic.  </w:t>
      </w:r>
    </w:p>
    <w:p w:rsidR="00312C02" w:rsidRPr="00C97206" w:rsidRDefault="00312C02" w:rsidP="00312C02">
      <w:pPr>
        <w:spacing w:after="0" w:line="240" w:lineRule="auto"/>
        <w:ind w:firstLine="426"/>
        <w:jc w:val="both"/>
        <w:rPr>
          <w:rFonts w:ascii="Tahoma" w:hAnsi="Tahoma" w:cs="Tahoma"/>
          <w:sz w:val="20"/>
          <w:szCs w:val="20"/>
        </w:rPr>
      </w:pPr>
      <w:r w:rsidRPr="00C97206">
        <w:rPr>
          <w:rFonts w:ascii="Tahoma" w:hAnsi="Tahoma" w:cs="Tahoma"/>
          <w:sz w:val="20"/>
          <w:szCs w:val="20"/>
        </w:rPr>
        <w:t>An infodemic is an overabundance of information, both online and offline. It includes deliberate attempts to disseminate wrong information to undermine the public health response and advance alternative agendas of groups or individuals. Mis- and disinformation can be harmful to people’s physical and mental health; increase stigmatization; threaten precious health gains; and lead to poor observance of public health measures, thus reducing their effectiveness and endangering countries’ ability to stop the pandemic.</w:t>
      </w:r>
    </w:p>
    <w:p w:rsidR="00312C02" w:rsidRPr="00C97206" w:rsidRDefault="00312C02" w:rsidP="00312C02">
      <w:pPr>
        <w:spacing w:after="0" w:line="240" w:lineRule="auto"/>
        <w:ind w:firstLine="426"/>
        <w:jc w:val="both"/>
        <w:rPr>
          <w:rFonts w:ascii="Tahoma" w:hAnsi="Tahoma" w:cs="Tahoma"/>
          <w:sz w:val="20"/>
          <w:szCs w:val="20"/>
        </w:rPr>
      </w:pPr>
      <w:r w:rsidRPr="00C97206">
        <w:rPr>
          <w:rFonts w:ascii="Tahoma" w:hAnsi="Tahoma" w:cs="Tahoma"/>
          <w:sz w:val="20"/>
          <w:szCs w:val="20"/>
        </w:rPr>
        <w:t>Misinformation costs lives. Without the appropriate trust and correct information, diagnostic tests go unused, immunization campaigns (or campaigns to promote effective vaccines) will not meet their targets, and the virus will continue to thrive.</w:t>
      </w:r>
    </w:p>
    <w:p w:rsidR="00312C02" w:rsidRPr="00C97206" w:rsidRDefault="00312C02" w:rsidP="00312C02">
      <w:pPr>
        <w:spacing w:after="0" w:line="240" w:lineRule="auto"/>
        <w:ind w:firstLine="426"/>
        <w:jc w:val="both"/>
        <w:rPr>
          <w:rFonts w:ascii="Tahoma" w:hAnsi="Tahoma" w:cs="Tahoma"/>
          <w:sz w:val="20"/>
          <w:szCs w:val="20"/>
        </w:rPr>
      </w:pPr>
      <w:r w:rsidRPr="00C97206">
        <w:rPr>
          <w:rFonts w:ascii="Tahoma" w:hAnsi="Tahoma" w:cs="Tahoma"/>
          <w:sz w:val="20"/>
          <w:szCs w:val="20"/>
        </w:rPr>
        <w:t xml:space="preserve">Furthermore, disinformation is polarizing public debate on topics related to COVID-19; amplifying hate speech; heightening the risk of conflict, violence and human rights violations; and threatening long-terms prospects for advancing democracy, human rights and social cohesion. </w:t>
      </w:r>
    </w:p>
    <w:p w:rsidR="00312C02" w:rsidRPr="00C97206" w:rsidRDefault="00312C02" w:rsidP="00312C02">
      <w:pPr>
        <w:spacing w:after="0" w:line="240" w:lineRule="auto"/>
        <w:ind w:firstLine="426"/>
        <w:jc w:val="both"/>
        <w:rPr>
          <w:rFonts w:ascii="Tahoma" w:hAnsi="Tahoma" w:cs="Tahoma"/>
          <w:sz w:val="20"/>
          <w:szCs w:val="20"/>
        </w:rPr>
      </w:pPr>
      <w:r w:rsidRPr="00C97206">
        <w:rPr>
          <w:rFonts w:ascii="Tahoma" w:hAnsi="Tahoma" w:cs="Tahoma"/>
          <w:sz w:val="20"/>
          <w:szCs w:val="20"/>
        </w:rPr>
        <w:t xml:space="preserve">In this context, the UN Secretary- General launched the United Nations Communications Response initiative to combat the spread of mis- and disinformation in April 2020. The UN also issued a Guidance Note on Addressing and Countering COVID-19 related Hate Speech (11 May 2020). </w:t>
      </w:r>
    </w:p>
    <w:p w:rsidR="00312C02" w:rsidRPr="00C97206" w:rsidRDefault="00312C02" w:rsidP="00312C02">
      <w:pPr>
        <w:spacing w:after="0" w:line="240" w:lineRule="auto"/>
        <w:ind w:firstLine="426"/>
        <w:jc w:val="both"/>
        <w:rPr>
          <w:rFonts w:ascii="Tahoma" w:hAnsi="Tahoma" w:cs="Tahoma"/>
          <w:sz w:val="20"/>
          <w:szCs w:val="20"/>
        </w:rPr>
      </w:pPr>
      <w:r w:rsidRPr="00C97206">
        <w:rPr>
          <w:rFonts w:ascii="Tahoma" w:hAnsi="Tahoma" w:cs="Tahoma"/>
          <w:sz w:val="20"/>
          <w:szCs w:val="20"/>
        </w:rPr>
        <w:t>At the World Health Assembly in May 2020, WHO Member States passed Resolution WHA73.1 on the COVID-19 response. The Resolution recognizes that managing the infodemic is a critical part of controlling the COVID-19 pandemic: it calls on Member States to provide reliable COVID-19 content, take measures to counter mis- and disinformation and leverage digital technologies across the response. The Resolution also calls on international organizations to address mis- and disinformation in the digital sphere, work to prevent harmful cyber activities undermining the health response and support the provision of science-based data to the public.</w:t>
      </w:r>
    </w:p>
    <w:p w:rsidR="0054590C" w:rsidRPr="00C97206" w:rsidRDefault="00BD0647" w:rsidP="00030DCA">
      <w:pPr>
        <w:spacing w:after="0" w:line="240" w:lineRule="auto"/>
        <w:ind w:firstLine="426"/>
        <w:jc w:val="both"/>
        <w:rPr>
          <w:rFonts w:ascii="Tahoma" w:hAnsi="Tahoma" w:cs="Tahoma"/>
          <w:sz w:val="20"/>
          <w:szCs w:val="20"/>
        </w:rPr>
      </w:pPr>
      <w:r w:rsidRPr="00C97206">
        <w:rPr>
          <w:rFonts w:ascii="Tahoma" w:hAnsi="Tahoma" w:cs="Tahoma"/>
          <w:sz w:val="20"/>
          <w:szCs w:val="20"/>
        </w:rPr>
        <w:t>https://www.who.int/news-room/detail/23-09-2020-managing-the-covid-19-infodemic-promoting-healthy-behaviours-and-mitigating-the-harm-from-misinformation-and-disinformation</w:t>
      </w:r>
    </w:p>
    <w:p w:rsidR="0054590C" w:rsidRPr="00C97206" w:rsidRDefault="0054590C" w:rsidP="00030DCA">
      <w:pPr>
        <w:spacing w:after="0" w:line="240" w:lineRule="auto"/>
        <w:ind w:firstLine="426"/>
        <w:jc w:val="both"/>
        <w:rPr>
          <w:rFonts w:ascii="Tahoma" w:hAnsi="Tahoma" w:cs="Tahoma"/>
          <w:sz w:val="20"/>
          <w:szCs w:val="20"/>
        </w:rPr>
      </w:pPr>
    </w:p>
    <w:p w:rsidR="00BD0647" w:rsidRPr="00C97206" w:rsidRDefault="00BD0647"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The fact that a COVID-19 R&amp;D forum was the first meeting convened after the PHEIC declaration testifies to the importance of R&amp;D in response to EID. Korea has demonstrated a remarkable capacity in its laboratory response by conducting high-throughput COVID-19 testing and utilizing innovative drive-through samplings. These measures for early detection and screening of cases should be followed by full efforts to produce research-based evidence by thoroughly analyzing epidemiological, clinical and immunological data, which will facilitate the development of vaccines and therapeutics for COVID-19. It is expected that Korea plays a global partner for COVID-19 research by actively participating in immediate and mid/long-term priorities jointly led by WHO and global partners </w:t>
      </w:r>
      <w:r w:rsidRPr="00C97206">
        <w:rPr>
          <w:rFonts w:ascii="Tahoma" w:hAnsi="Tahoma" w:cs="Tahoma"/>
          <w:sz w:val="20"/>
          <w:szCs w:val="20"/>
        </w:rPr>
        <w:fldChar w:fldCharType="begin" w:fldLock="1"/>
      </w:r>
      <w:r w:rsidRPr="00C97206">
        <w:rPr>
          <w:rFonts w:ascii="Tahoma" w:hAnsi="Tahoma" w:cs="Tahoma"/>
          <w:sz w:val="20"/>
          <w:szCs w:val="20"/>
        </w:rPr>
        <w:instrText>ADDIN CSL_CITATION {"citationItems":[{"id":"ITEM-1","itemData":{"DOI":"10.4178/epih.e2020013","ISSN":"20927193","PMID":"32192278","abstract":"To discuss whether the coronavirus disease 2019 (COVID-19) outbreak constitutes a Public Health Emergency of International Concern (PHEIC), World Health Organization (WHO) organized the 15-member International Health Regulations Emergency Committee (EC). On January 22-23 and January 30, 2020, EC convened and discussed whether the situation in China and other countries would constitute PHEIC and issued recommendations for WHO, China and the international community. Based on the recommendations of EC, WHO declared the COVID-19 outbreak a PHEIC. One of the purposes of the declaration of PHEIC was to alarm countries with weak public health infrastructures to prepare promptly for emerging infectious diseases (EID) and provide WHO with a framework for proactively supporting those countries. On February 3, 2020, WHO proposed the 2019 COVID-19 Strategic Preparedness and Response Plan, which includes accelerating research and development (R&amp;D) processes as one of three major strategies. On February 11-12, 2020, WHO held the Global Research and Innovation Forum: Towards a Research Roadmap for COVID-19. The fact that a COVID-19 R&amp;D forum was the first meeting convened after the PHEIC declaration testifies to the importance of R&amp;D in response to EID. Korea has demonstrated a remarkable capacity in its laboratory response by conducting high-throughput COVID-19 testing and utilizing innovative drive-through samplings. These measures for early detection and screening of cases should be followed by full efforts to produce research-based evidence by thoroughly analyzing epidemiological, clinical and immunological data, which will facilitate the development of vaccines and therapeutics for COVID-19. It is expected that Korea plays a global partner for COVID-19 research by actively participating in immediate and mid/long-term priorities jointly led by WHO and global partners.","author":[{"dropping-particle":"","family":"Jee","given":"Youngmee","non-dropping-particle":"","parse-names":false,"suffix":""}],"container-title":"Epidemiology and health","id":"ITEM-1","issued":{"date-parts":[["2020"]]},"page":"e2020013","publisher":"NLM (Medline)","title":"WHO International Health Regulations Emergency Committee for the COVID-19 outbreak","type":"article","volume":"42"},"uris":["http://www.mendeley.com/documents/?uuid=0a4585ca-1470-3c64-accc-0d3d7dbfa404"]}],"mendeley":{"formattedCitation":"(Jee, 2020)","plainTextFormattedCitation":"(Jee, 2020)","previouslyFormattedCitation":"(Jee, 2020)"},"properties":{"noteIndex":0},"schema":"https://github.com/citation-style-language/schema/raw/master/csl-citation.json"}</w:instrText>
      </w:r>
      <w:r w:rsidRPr="00C97206">
        <w:rPr>
          <w:rFonts w:ascii="Tahoma" w:hAnsi="Tahoma" w:cs="Tahoma"/>
          <w:sz w:val="20"/>
          <w:szCs w:val="20"/>
        </w:rPr>
        <w:fldChar w:fldCharType="separate"/>
      </w:r>
      <w:r w:rsidRPr="00C97206">
        <w:rPr>
          <w:rFonts w:ascii="Tahoma" w:hAnsi="Tahoma" w:cs="Tahoma"/>
          <w:noProof/>
          <w:sz w:val="20"/>
          <w:szCs w:val="20"/>
        </w:rPr>
        <w:t>(Jee, 2020)</w:t>
      </w:r>
      <w:r w:rsidRPr="00C97206">
        <w:rPr>
          <w:rFonts w:ascii="Tahoma" w:hAnsi="Tahoma" w:cs="Tahoma"/>
          <w:sz w:val="20"/>
          <w:szCs w:val="20"/>
        </w:rPr>
        <w:fldChar w:fldCharType="end"/>
      </w:r>
    </w:p>
    <w:p w:rsidR="00BD0647" w:rsidRPr="00C97206" w:rsidRDefault="00BD0647" w:rsidP="00030DCA">
      <w:pPr>
        <w:spacing w:after="0" w:line="240" w:lineRule="auto"/>
        <w:ind w:firstLine="426"/>
        <w:jc w:val="both"/>
        <w:rPr>
          <w:rFonts w:ascii="Tahoma" w:hAnsi="Tahoma" w:cs="Tahoma"/>
          <w:sz w:val="20"/>
          <w:szCs w:val="20"/>
        </w:rPr>
      </w:pPr>
      <w:r w:rsidRPr="00C97206">
        <w:rPr>
          <w:rFonts w:ascii="Tahoma" w:hAnsi="Tahoma" w:cs="Tahoma"/>
          <w:sz w:val="20"/>
          <w:szCs w:val="20"/>
        </w:rPr>
        <w:t xml:space="preserve">In this issue of the Journal of Medical Internet Research, the World Health Organization (WHO) is presenting a framework for managing the coronavirus disease (COVID-19) infodemic. Infodemiology is now acknowledged by public health organizations and the WHO as an important emerging scientific field and critical area of practice during a pandemic. From the perspective of being the first “infodemiologist” who originally coined the term almost two decades ago, I am positing four pillars of infodemic management: (1) information monitoring (infoveillance); (2) building eHealth Literacy and science literacy capacity; (3) encouraging knowledge refinement and quality improvement processes such as fact checking and peer-review; and (4) accurate and timely knowledge translation, minimizing distorting factors such as political or commercial influences. In the current COVID-19 pandemic, the United Nations has advocated that facts and science should be promoted and that these constitute the antidote to the current infodemic. This is in stark contrast to the realities of infodemic mismanagement and misguided upstream filtering, where social media platforms such as Twitter have advertising policies that sideline science organizations and science publishers, treating peer-reviewed science as “inappropriate content </w:t>
      </w:r>
      <w:r w:rsidRPr="00C97206">
        <w:rPr>
          <w:rFonts w:ascii="Tahoma" w:hAnsi="Tahoma" w:cs="Tahoma"/>
          <w:sz w:val="20"/>
          <w:szCs w:val="20"/>
        </w:rPr>
        <w:fldChar w:fldCharType="begin" w:fldLock="1"/>
      </w:r>
      <w:r w:rsidRPr="00C97206">
        <w:rPr>
          <w:rFonts w:ascii="Tahoma" w:hAnsi="Tahoma" w:cs="Tahoma"/>
          <w:sz w:val="20"/>
          <w:szCs w:val="20"/>
        </w:rPr>
        <w:instrText>ADDIN CSL_CITATION {"citationItems":[{"id":"ITEM-1","itemData":{"DOI":"10.2196/21820","ISSN":"14388871","PMID":"32589147","abstract":"In this issue of the Journal of Medical Internet Research, the World Health Organization (WHO) is presenting a framework for managing the coronavirus disease (COVID-19) infodemic. Infodemiology is now acknowledged by public health organizations and the WHO as an important emerging scientific field and critical area of practice during a pandemic. From the perspective of being the first “infodemiologist” who originally coined the term almost two decades ago, I am positing four pillars of infodemic management: (1) information monitoring (infoveillance); (2) building eHealth Literacy and science literacy capacity; (3) encouraging knowledge refinement and quality improvement processes such as fact checking and peer-review; and (4) accurate and timely knowledge translation, minimizing distorting factors such as political or commercial influences. In the current COVID-19 pandemic, the United Nations has advocated that facts and science should be promoted and that these constitute the antidote to the current infodemic. This is in stark contrast to the realities of infodemic mismanagement and misguided upstream filtering, where social media platforms such as Twitter have advertising policies that sideline science organizations and science publishers, treating peer-reviewed science as “inappropriate content.","author":[{"dropping-particle":"","family":"Eysenbach","given":"Gunther","non-dropping-particle":"","parse-names":false,"suffix":""}],"container-title":"Journal of Medical Internet Research","id":"ITEM-1","issue":"6","issued":{"date-parts":[["2020","6","1"]]},"publisher":"JMIR Publications","title":"How to fight an infodemic: The four pillars of infodemic management","type":"article","volume":"22"},"uris":["http://www.mendeley.com/documents/?uuid=6505a56e-0e70-32be-bfa1-e181797c47db"]}],"mendeley":{"formattedCitation":"(Eysenbach, 2020)","plainTextFormattedCitation":"(Eysenbach, 2020)"},"properties":{"noteIndex":0},"schema":"https://github.com/citation-style-language/schema/raw/master/csl-citation.json"}</w:instrText>
      </w:r>
      <w:r w:rsidRPr="00C97206">
        <w:rPr>
          <w:rFonts w:ascii="Tahoma" w:hAnsi="Tahoma" w:cs="Tahoma"/>
          <w:sz w:val="20"/>
          <w:szCs w:val="20"/>
        </w:rPr>
        <w:fldChar w:fldCharType="separate"/>
      </w:r>
      <w:r w:rsidRPr="00C97206">
        <w:rPr>
          <w:rFonts w:ascii="Tahoma" w:hAnsi="Tahoma" w:cs="Tahoma"/>
          <w:noProof/>
          <w:sz w:val="20"/>
          <w:szCs w:val="20"/>
        </w:rPr>
        <w:t>(Eysenbach, 2020)</w:t>
      </w:r>
      <w:r w:rsidRPr="00C97206">
        <w:rPr>
          <w:rFonts w:ascii="Tahoma" w:hAnsi="Tahoma" w:cs="Tahoma"/>
          <w:sz w:val="20"/>
          <w:szCs w:val="20"/>
        </w:rPr>
        <w:fldChar w:fldCharType="end"/>
      </w:r>
    </w:p>
    <w:p w:rsidR="00BD0647" w:rsidRDefault="00BD0647" w:rsidP="00030DCA">
      <w:pPr>
        <w:spacing w:after="0" w:line="240" w:lineRule="auto"/>
        <w:ind w:firstLine="426"/>
        <w:jc w:val="both"/>
        <w:rPr>
          <w:rFonts w:ascii="Tahoma" w:hAnsi="Tahoma" w:cs="Tahoma"/>
        </w:rPr>
      </w:pPr>
    </w:p>
    <w:p w:rsidR="00BD0647" w:rsidRDefault="00BD0647" w:rsidP="00030DCA">
      <w:pPr>
        <w:spacing w:after="0" w:line="240" w:lineRule="auto"/>
        <w:ind w:firstLine="426"/>
        <w:jc w:val="both"/>
        <w:rPr>
          <w:rFonts w:ascii="Tahoma" w:hAnsi="Tahoma" w:cs="Tahoma"/>
        </w:rPr>
      </w:pPr>
    </w:p>
    <w:p w:rsidR="00BD0647" w:rsidRDefault="00BD0647" w:rsidP="00030DCA">
      <w:pPr>
        <w:spacing w:after="0" w:line="240" w:lineRule="auto"/>
        <w:ind w:firstLine="426"/>
        <w:jc w:val="both"/>
        <w:rPr>
          <w:rFonts w:ascii="Tahoma" w:hAnsi="Tahoma" w:cs="Tahoma"/>
        </w:rPr>
      </w:pPr>
    </w:p>
    <w:p w:rsidR="00BD0647" w:rsidRDefault="00BD0647" w:rsidP="00030DCA">
      <w:pPr>
        <w:spacing w:after="0" w:line="240" w:lineRule="auto"/>
        <w:ind w:firstLine="426"/>
        <w:jc w:val="both"/>
        <w:rPr>
          <w:rFonts w:ascii="Tahoma" w:hAnsi="Tahoma" w:cs="Tahoma"/>
        </w:rPr>
      </w:pPr>
    </w:p>
    <w:p w:rsidR="00BD0647" w:rsidRDefault="00BD0647" w:rsidP="00030DCA">
      <w:pPr>
        <w:spacing w:after="0" w:line="240" w:lineRule="auto"/>
        <w:ind w:firstLine="426"/>
        <w:jc w:val="both"/>
        <w:rPr>
          <w:rFonts w:ascii="Tahoma" w:hAnsi="Tahoma" w:cs="Tahoma"/>
        </w:rPr>
      </w:pPr>
    </w:p>
    <w:p w:rsidR="00C97206" w:rsidRDefault="00C97206">
      <w:pPr>
        <w:rPr>
          <w:rFonts w:ascii="Tahoma" w:hAnsi="Tahoma" w:cs="Tahoma"/>
        </w:rPr>
      </w:pPr>
      <w:r>
        <w:rPr>
          <w:rFonts w:ascii="Tahoma" w:hAnsi="Tahoma" w:cs="Tahoma"/>
        </w:rPr>
        <w:br w:type="page"/>
      </w:r>
    </w:p>
    <w:p w:rsidR="00030DCA" w:rsidRDefault="00030DCA" w:rsidP="00030DCA">
      <w:pPr>
        <w:spacing w:after="0" w:line="240" w:lineRule="auto"/>
        <w:ind w:firstLine="426"/>
        <w:jc w:val="both"/>
        <w:rPr>
          <w:rFonts w:ascii="Tahoma" w:hAnsi="Tahoma" w:cs="Tahoma"/>
        </w:rPr>
      </w:pP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 xml:space="preserve">Secara umum, infeksi penyakit pernapasan menyebar melalui penularan tetesan dan aerosol yang mengandung virus yang dihembuskan dari individu yang terinfeksi selama bernafas, berbicara, batuk, dan bersin. Khusus penyebaran penyakit COVID-19 tampaknya terjadi melalui transmisi aerosol oleh individu yang sakit atau bahkan tanpa gejala selama bernafas dan berbicara.   Aerosol tersebut dapat berakumulasi di udara dalam ruangan selama berjam-jam, berpotensi dihirup ke dalam paru-paru oleh individu lain </w:t>
      </w:r>
      <w:r w:rsidRPr="00897C87">
        <w:rPr>
          <w:rFonts w:ascii="Tahoma" w:hAnsi="Tahoma" w:cs="Tahoma"/>
        </w:rPr>
        <w:fldChar w:fldCharType="begin" w:fldLock="1"/>
      </w:r>
      <w:r w:rsidRPr="00897C87">
        <w:rPr>
          <w:rFonts w:ascii="Tahoma" w:hAnsi="Tahoma" w:cs="Tahoma"/>
        </w:rPr>
        <w:instrText>ADDIN CSL_CITATION {"citationItems":[{"id":"ITEM-1","itemData":{"DOI":"10.1126/science.abc6197","abstract":"Masks and testing are necessary to combat asymptomatic spread in aerosols and droplets","author":[{"dropping-particle":"","family":"Prather","given":"Kimberly A","non-dropping-particle":"","parse-names":false,"suffix":""},{"dropping-particle":"","family":"Wang","given":"Chia C","non-dropping-particle":"","parse-names":false,"suffix":""},{"dropping-particle":"","family":"Schooley","given":"Robert T","non-dropping-particle":"","parse-names":false,"suffix":""}],"container-title":"Science","id":"ITEM-1","issued":{"date-parts":[["2020","5","27"]]},"page":"eabc6197","title":"Reducing transmission of SARS-CoV-2","type":"article-journal"},"uris":["http://www.mendeley.com/documents/?uuid=b2564f95-8a75-384c-a420-07a2c9a3fffb"]}],"mendeley":{"formattedCitation":"(Prather, Wang, &amp; Schooley, 2020)","plainTextFormattedCitation":"(Prather, Wang, &amp; Schooley, 2020)","previouslyFormattedCitation":"(Prather, Wang, &amp; Schooley,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(Prather, Wang, &amp; Schooley, 2020)</w:t>
      </w:r>
      <w:r w:rsidRPr="00897C87">
        <w:rPr>
          <w:rFonts w:ascii="Tahoma" w:hAnsi="Tahoma" w:cs="Tahoma"/>
        </w:rPr>
        <w:fldChar w:fldCharType="end"/>
      </w:r>
      <w:r w:rsidRPr="00897C87">
        <w:rPr>
          <w:rFonts w:ascii="Tahoma" w:hAnsi="Tahoma" w:cs="Tahoma"/>
        </w:rPr>
        <w:t xml:space="preserve">. </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 xml:space="preserve">Upaya penanganan pengurangan penularan aerosol yang mengandung virus umumnya dengan berbagai penapisan yang bersifat individual atau berskala sosial.  Pengendalian transmisi aerosol individual misalnya penggunaan masker, alat pelindung diri, atau upaya kebersihan dan kesehatan.  Pengendalian transmisi bersifat sosial dipilih dengan gerakan sosial melalui upaya menjaga jarak, </w:t>
      </w:r>
      <w:r>
        <w:rPr>
          <w:rFonts w:ascii="Tahoma" w:hAnsi="Tahoma" w:cs="Tahoma"/>
        </w:rPr>
        <w:t xml:space="preserve">penutupan sekolah atau </w:t>
      </w:r>
      <w:r w:rsidRPr="00897C87">
        <w:rPr>
          <w:rFonts w:ascii="Tahoma" w:hAnsi="Tahoma" w:cs="Tahoma"/>
        </w:rPr>
        <w:t xml:space="preserve">aktivitas </w:t>
      </w:r>
      <w:r>
        <w:rPr>
          <w:rFonts w:ascii="Tahoma" w:hAnsi="Tahoma" w:cs="Tahoma"/>
        </w:rPr>
        <w:t xml:space="preserve">layanan </w:t>
      </w:r>
      <w:r w:rsidRPr="00897C87">
        <w:rPr>
          <w:rFonts w:ascii="Tahoma" w:hAnsi="Tahoma" w:cs="Tahoma"/>
        </w:rPr>
        <w:t>publik dan penutupan wilayah</w:t>
      </w:r>
      <w:r>
        <w:rPr>
          <w:rFonts w:ascii="Tahoma" w:hAnsi="Tahoma" w:cs="Tahoma"/>
        </w:rPr>
        <w:t xml:space="preserve"> </w:t>
      </w:r>
      <w:r>
        <w:rPr>
          <w:rFonts w:ascii="Tahoma" w:hAnsi="Tahoma" w:cs="Tahoma"/>
        </w:rPr>
        <w:fldChar w:fldCharType="begin" w:fldLock="1"/>
      </w:r>
      <w:r>
        <w:rPr>
          <w:rFonts w:ascii="Tahoma" w:hAnsi="Tahoma" w:cs="Tahoma"/>
        </w:rPr>
        <w:instrText>ADDIN CSL_CITATION {"citationItems":[{"id":"ITEM-1","itemData":{"DOI":"10.1101/2020.03.22.20041079","abstract":"The SARS-CoV-2 pandemic is straining healthcare resources worldwide, prompting social distancing measures to reduce transmission intensity. The amount of social distancing needed to curb the SARS-CoV-2 epidemic in the context of seasonally varying transmission remains unclear. Using a mathematical model, we assessed that one-time interventions will be insufficient to maintain COVID-19 prevalence within the critical care capacity of the United States. Seasonal variation in transmission will facilitate epidemic control during the summer months but could lead to an intense resurgence in the autumn. Intermittent distancing measures can maintain control of the epidemic, but without other interventions, these measures may be necessary into 2022. Increasing critical care capacity could reduce the duration of the SARS-CoV-2 epidemic while ensuring that critically ill patients receive appropriate care.\n\n### Competing Interest Statement\n\nThe authors have declared no competing interest.\n\n### Funding Statement\n\nThe authors received no funding for this work.\n\n### Author Declarations\n\nAll relevant ethical guidelines have been followed; any necessary IRB and/or ethics committee approvals have been obtained and details of the IRB/oversight body are included in the manuscript.\n\nYes\n\nAll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applicable.\n\nYes\n\nThe manuscript includes no data.","author":[{"dropping-particle":"","family":"Kissler","given":"Stephen M","non-dropping-particle":"","parse-names":false,"suffix":""},{"dropping-particle":"","family":"Tedijanto","given":"Christine","non-dropping-particle":"","parse-names":false,"suffix":""},{"dropping-particle":"","family":"Lipsitch","given":"Marc","non-dropping-particle":"","parse-names":false,"suffix":""},{"dropping-particle":"","family":"Grad","given":"Yonatan","non-dropping-particle":"","parse-names":false,"suffix":""}],"container-title":"medRxiv","id":"ITEM-1","issued":{"date-parts":[["2020"]]},"page":"2020.03.22.20041079","title":"Social distancing strategies for curbing the COVID-19 epidemic","type":"article-journal"},"uris":["http://www.mendeley.com/documents/?uuid=dc1762b5-05c6-3cce-ac54-ee1898114c08"]},{"id":"ITEM-2","itemData":{"DOI":"10.1186/s12889-015-2336-7","abstract":"Background: Studies of social distancing during epidemics have found that the strength of the response can have a decisive impact on the outcome. In previous work we developed a model of social distancing driven by individuals' risk attitude, a parameter which determines the extent to which social contacts are reduced in response to a given infection level. We showed by simulation that a strong response, driven by a highly cautious risk attitude, can quickly suppress an epidemic. However, a moderately cautious risk attitude gives weak control and, by prolonging the epidemic without reducing its impact, may yield a worse outcome than doing nothing. In real societies, social distancing may arise spontaneously from individual choices rather than being imposed centrally. There is little data available about this as opportunistic data collection during epidemics is difficult. Our study uses a simulated epidemic in a computer game setting to measure the social distancing response. Methods: Two hundred thirty participants played a computer game simulating an epidemic on a spatial network. The player controls one individual in a population of 2500 (with others controlled by computer) and decides how many others to contact each day. To mimic real-world trade-offs, the player is motivated to make contact by being rewarded with points, while simultaneously being deterred by the threat of infection. Participants completed a questionnaire regarding psychological measures of health protection motivation. Finally, simulations were used to compare the experimentally-observed response to epidemics with no response. Results: Participants reduced contacts in response to infection in a manner consistent with our model of social distancing. The experimentally observed response was too weak to halt epidemics quickly, resulting in a somewhat reduced attack rate and a substantially reduced peak attack rate, but longer duration and fewer social contacts, compared to no response. Little correlation was observed between participants' risk attitudes and the psychological measures. Conclusions: Our cognitive model of social distancing matches responses to a simulated epidemic. If these responses indicate real world behaviour, spontaneous social distancing can be expected to reduce peak attack rates. However, additional measures are needed if it is important to stop an epidemic quickly.","author":[{"dropping-particle":"","family":"Kleczkowski","given":"Adam","non-dropping-particle":"","parse-names":false,"suffix":""},{"dropping-particle":"","family":"Maharaj","given":"Savi","non-dropping-particle":"","parse-names":false,"suffix":""},{"dropping-particle":"","family":"Rasmussen","given":"Susan","non-dropping-particle":"","parse-names":false,"suffix":""},{"dropping-particle":"","family":"Williams","given":"Lynn","non-dropping-particle":"","parse-names":false,"suffix":""},{"dropping-particle":"","family":"Cairns","given":"Nicole","non-dropping-particle":"","parse-names":false,"suffix":""}],"container-title":"BMC Public Health","id":"ITEM-2","issue":"1","issued":{"date-parts":[["2015","9","28"]]},"page":"1-13","publisher":"BioMed Central Ltd.","title":"Spontaneous social distancing in response to a simulated epidemic: A virtual experiment","type":"article-journal","volume":"15"},"uris":["http://www.mendeley.com/documents/?uuid=479514d8-d329-3723-95e6-37c17cd1ff69"]}],"mendeley":{"formattedCitation":"(Kissler, Tedijanto, Lipsitch, &amp; Grad, 2020; Kleczkowski, Maharaj, Rasmussen, Williams, &amp; Cairns, 2015)","plainTextFormattedCitation":"(Kissler, Tedijanto, Lipsitch, &amp; Grad, 2020; Kleczkowski, Maharaj, Rasmussen, Williams, &amp; Cairns, 2015)","previouslyFormattedCitation":"(Kissler, Tedijanto, Lipsitch, &amp; Grad, 2020; Kleczkowski, Maharaj, Rasmussen, Williams, &amp; Cairns, 2015)"},"properties":{"noteIndex":0},"schema":"https://github.com/citation-style-language/schema/raw/master/csl-citation.json"}</w:instrText>
      </w:r>
      <w:r>
        <w:rPr>
          <w:rFonts w:ascii="Tahoma" w:hAnsi="Tahoma" w:cs="Tahoma"/>
        </w:rPr>
        <w:fldChar w:fldCharType="separate"/>
      </w:r>
      <w:r w:rsidRPr="005D541B">
        <w:rPr>
          <w:rFonts w:ascii="Tahoma" w:hAnsi="Tahoma" w:cs="Tahoma"/>
          <w:noProof/>
        </w:rPr>
        <w:t>(Kissler, Tedijanto, Lipsitch, &amp; Grad, 2020; Kleczkowski, Maharaj, Rasmussen, Williams, &amp; Cairns, 2015)</w:t>
      </w:r>
      <w:r>
        <w:rPr>
          <w:rFonts w:ascii="Tahoma" w:hAnsi="Tahoma" w:cs="Tahoma"/>
        </w:rPr>
        <w:fldChar w:fldCharType="end"/>
      </w:r>
      <w:r w:rsidRPr="00897C87">
        <w:rPr>
          <w:rFonts w:ascii="Tahoma" w:hAnsi="Tahoma" w:cs="Tahoma"/>
        </w:rPr>
        <w:t xml:space="preserve">.  </w:t>
      </w:r>
      <w:r>
        <w:rPr>
          <w:rFonts w:ascii="Tahoma" w:hAnsi="Tahoma" w:cs="Tahoma"/>
        </w:rPr>
        <w:t xml:space="preserve"> </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 xml:space="preserve">Upaya melakukan pembatasan sosial perlu dilakukan sedini mungkin agar penyebaran virus segera berhenti </w:t>
      </w:r>
      <w:r w:rsidRPr="00897C87">
        <w:rPr>
          <w:rFonts w:ascii="Tahoma" w:hAnsi="Tahoma" w:cs="Tahoma"/>
        </w:rPr>
        <w:fldChar w:fldCharType="begin" w:fldLock="1"/>
      </w:r>
      <w:r w:rsidRPr="00897C87">
        <w:rPr>
          <w:rFonts w:ascii="Tahoma" w:hAnsi="Tahoma" w:cs="Tahoma"/>
        </w:rPr>
        <w:instrText>ADDIN CSL_CITATION {"citationItems":[{"id":"ITEM-1","itemData":{"DOI":"10.1126/science.abb4218","ISSN":"10959203","PMID":"32213647","abstract":"The ongoing coronavirus disease 2019 (COVID-19) outbreak expanded rapidly throughout China. Major behavioral, clinical, and state interventions were undertaken to mitigate the epidemic and prevent the persistence of the virus in human populations in China and worldwide. It remains unclear how these unprecedented interventions, including travel restrictions, affected COVID-19 spread in China. We used real-time mobility data from Wuhan and detailed case data including travel history to elucidate the role of case importation in transmission in cities across China and to ascertain the impact of control measures. Early on, the spatial distribution of COVID-19 cases in China was explained well by human mobility data. After the implementation of control measures, this correlation dropped and growth rates became negative in most locations, although shifts in the demographics of reported cases were still indicative of local chains of transmission outside of Wuhan. This study shows that the drastic control measures implemented in China substantially mitigated the spread of COVID-19.","author":[{"dropping-particle":"","family":"Kraemer","given":"Moritz U.G.","non-dropping-particle":"","parse-names":false,"suffix":""},{"dropping-particle":"","family":"Yang","given":"Chia Hung","non-dropping-particle":"","parse-names":false,"suffix":""},{"dropping-particle":"","family":"Gutierrez","given":"Bernardo","non-dropping-particle":"","parse-names":false,"suffix":""},{"dropping-particle":"","family":"Wu","given":"Chieh Hsi","non-dropping-particle":"","parse-names":false,"suffix":""},{"dropping-particle":"","family":"Klein","given":"Brennan","non-dropping-particle":"","parse-names":false,"suffix":""},{"dropping-particle":"","family":"Pigott","given":"David M.","non-dropping-particle":"","parse-names":false,"suffix":""},{"dropping-particle":"","family":"Plessis","given":"Louis","non-dropping-particle":"du","parse-names":false,"suffix":""},{"dropping-particle":"","family":"Faria","given":"Nuno R.","non-dropping-particle":"","parse-names":false,"suffix":""},{"dropping-particle":"","family":"Li","given":"Ruoran","non-dropping-particle":"","parse-names":false,"suffix":""},{"dropping-particle":"","family":"Hanage","given":"William P.","non-dropping-particle":"","parse-names":false,"suffix":""},{"dropping-particle":"","family":"Brownstein","given":"John S.","non-dropping-particle":"","parse-names":false,"suffix":""},{"dropping-particle":"","family":"Layan","given":"Maylis","non-dropping-particle":"","parse-names":false,"suffix":""},{"dropping-particle":"","family":"Vespignani","given":"Alessandro","non-dropping-particle":"","parse-names":false,"suffix":""},{"dropping-particle":"","family":"Tian","given":"Huaiyu","non-dropping-particle":"","parse-names":false,"suffix":""},{"dropping-particle":"","family":"Dye","given":"Christopher","non-dropping-particle":"","parse-names":false,"suffix":""},{"dropping-particle":"","family":"Pybus","given":"Oliver G.","non-dropping-particle":"","parse-names":false,"suffix":""},{"dropping-particle":"V.","family":"Scarpino","given":"Samuel","non-dropping-particle":"","parse-names":false,"suffix":""}],"container-title":"Science","id":"ITEM-1","issue":"6490","issued":{"date-parts":[["2020","5","1"]]},"page":"493-497","publisher":"American Association for the Advancement of Science","title":"The effect of human mobility and control measures on the COVID-19 epidemic in China","type":"article-journal","volume":"368"},"uris":["http://www.mendeley.com/documents/?uuid=68afaabc-d2bd-3608-a76d-d0af5c38022c"]}],"mendeley":{"formattedCitation":"(Kraemer et al., 2020)","plainTextFormattedCitation":"(Kraemer et al., 2020)","previouslyFormattedCitation":"(Kraemer et al.,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(Kraemer et al., 2020)</w:t>
      </w:r>
      <w:r w:rsidRPr="00897C87">
        <w:rPr>
          <w:rFonts w:ascii="Tahoma" w:hAnsi="Tahoma" w:cs="Tahoma"/>
        </w:rPr>
        <w:fldChar w:fldCharType="end"/>
      </w:r>
      <w:r w:rsidRPr="00897C87">
        <w:rPr>
          <w:rFonts w:ascii="Tahoma" w:hAnsi="Tahoma" w:cs="Tahoma"/>
        </w:rPr>
        <w:t xml:space="preserve">.  Namun demikian, ada diskusi yang panjang terkait implikasi pembatasan sosial.  Aktivitas ekonomi juga penting untuk memberi jaminan kehidupan masyarakat, dan masih dibutuhkan untuk menyelesaikan problem pembangunan secara umum.  Di negara sedang berkembang, implikasi pembatasan sosial menunjukkan sangat komplek.  </w:t>
      </w:r>
      <w:r w:rsidRPr="00897C87">
        <w:rPr>
          <w:rFonts w:ascii="Tahoma" w:hAnsi="Tahoma" w:cs="Tahoma"/>
        </w:rPr>
        <w:fldChar w:fldCharType="begin" w:fldLock="1"/>
      </w:r>
      <w:r w:rsidRPr="00897C87">
        <w:rPr>
          <w:rFonts w:ascii="Tahoma" w:hAnsi="Tahoma" w:cs="Tahoma"/>
        </w:rPr>
        <w:instrText>ADDIN CSL_CITATION {"citationItems":[{"id":"ITEM-1","itemData":{"DOI":"10.1126/science.abc2255","author":[{"dropping-particle":"","family":"Braun","given":"Joachim","non-dropping-particle":"von","parse-names":false,"suffix":""},{"dropping-particle":"","family":"Zamagni","given":"Stefano","non-dropping-particle":"","parse-names":false,"suffix":""},{"dropping-particle":"","family":"Sorondo","given":"Marcelo Sánchez","non-dropping-particle":"","parse-names":false,"suffix":""}],"container-title":"Science","id":"ITEM-1","issue":"6488","issued":{"date-parts":[["2020","4","17"]]},"page":"214","title":"The moment to see the poor","type":"article-journal","volume":"368"},"uris":["http://www.mendeley.com/documents/?uuid=85b86600-d289-31a6-86cc-4086512a7992"]}],"mendeley":{"formattedCitation":"(von Braun, Zamagni, &amp; Sorondo, 2020)","plainTextFormattedCitation":"(von Braun, Zamagni, &amp; Sorondo, 2020)","previouslyFormattedCitation":"(von Braun, Zamagni, &amp; Sorondo,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(von Braun, Zamagni, &amp; Sorondo, 2020)</w:t>
      </w:r>
      <w:r w:rsidRPr="00897C87">
        <w:rPr>
          <w:rFonts w:ascii="Tahoma" w:hAnsi="Tahoma" w:cs="Tahoma"/>
        </w:rPr>
        <w:fldChar w:fldCharType="end"/>
      </w:r>
      <w:r w:rsidRPr="00897C87">
        <w:rPr>
          <w:rFonts w:ascii="Tahoma" w:hAnsi="Tahoma" w:cs="Tahoma"/>
        </w:rPr>
        <w:t xml:space="preserve">  menyatakan pembatasan sosial hanya layak untuk orang kaya. Orang kaya mampu tinggal di rumah, memiliki masker dan alat pelindung diri, bahkan bisa mengakses teknologi untuk bekerja atau belajar dari rumah. Orang miskin tidak memiliki pilihan banyak, mereka harus bekerja, melakukan perjalanan, menghadapi resiko kesehatan, dan anaknya tidak mampu mengakses pendidikan online.</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 xml:space="preserve">Karena itu, pembatasan sosial tidak dapat berlangsung lama.  </w:t>
      </w:r>
      <w:r>
        <w:rPr>
          <w:rFonts w:ascii="Tahoma" w:hAnsi="Tahoma" w:cs="Tahoma"/>
        </w:rPr>
        <w:t xml:space="preserve">Begitu kurva jumlah kasus infeksi mulai melandai atau menurun, pembatasan sosial dapat dikurangi </w:t>
      </w:r>
      <w:r>
        <w:rPr>
          <w:rFonts w:ascii="Tahoma" w:hAnsi="Tahoma" w:cs="Tahoma"/>
        </w:rPr>
        <w:fldChar w:fldCharType="begin" w:fldLock="1"/>
      </w:r>
      <w:r>
        <w:rPr>
          <w:rFonts w:ascii="Tahoma" w:hAnsi="Tahoma" w:cs="Tahoma"/>
        </w:rPr>
        <w:instrText>ADDIN CSL_CITATION {"citationItems":[{"id":"ITEM-1","itemData":{"DOI":"10.1101/2020.03.22.20041079","abstract":"The SARS-CoV-2 pandemic is straining healthcare resources worldwide, prompting social distancing measures to reduce transmission intensity. The amount of social distancing needed to curb the SARS-CoV-2 epidemic in the context of seasonally varying transmission remains unclear. Using a mathematical model, we assessed that one-time interventions will be insufficient to maintain COVID-19 prevalence within the critical care capacity of the United States. Seasonal variation in transmission will facilitate epidemic control during the summer months but could lead to an intense resurgence in the autumn. Intermittent distancing measures can maintain control of the epidemic, but without other interventions, these measures may be necessary into 2022. Increasing critical care capacity could reduce the duration of the SARS-CoV-2 epidemic while ensuring that critically ill patients receive appropriate care.\n\n### Competing Interest Statement\n\nThe authors have declared no competing interest.\n\n### Funding Statement\n\nThe authors received no funding for this work.\n\n### Author Declarations\n\nAll relevant ethical guidelines have been followed; any necessary IRB and/or ethics committee approvals have been obtained and details of the IRB/oversight body are included in the manuscript.\n\nYes\n\nAll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applicable.\n\nYes\n\nThe manuscript includes no data.","author":[{"dropping-particle":"","family":"Kissler","given":"Stephen M","non-dropping-particle":"","parse-names":false,"suffix":""},{"dropping-particle":"","family":"Tedijanto","given":"Christine","non-dropping-particle":"","parse-names":false,"suffix":""},{"dropping-particle":"","family":"Lipsitch","given":"Marc","non-dropping-particle":"","parse-names":false,"suffix":""},{"dropping-particle":"","family":"Grad","given":"Yonatan","non-dropping-particle":"","parse-names":false,"suffix":""}],"container-title":"medRxiv","id":"ITEM-1","issued":{"date-parts":[["2020"]]},"page":"2020.03.22.20041079","title":"Social distancing strategies for curbing the COVID-19 epidemic","type":"article-journal"},"uris":["http://www.mendeley.com/documents/?uuid=dc1762b5-05c6-3cce-ac54-ee1898114c08"]}],"mendeley":{"formattedCitation":"(Kissler et al., 2020)","plainTextFormattedCitation":"(Kissler et al., 2020)","previouslyFormattedCitation":"(Kissler et al., 2020)"},"properties":{"noteIndex":0},"schema":"https://github.com/citation-style-language/schema/raw/master/csl-citation.json"}</w:instrText>
      </w:r>
      <w:r>
        <w:rPr>
          <w:rFonts w:ascii="Tahoma" w:hAnsi="Tahoma" w:cs="Tahoma"/>
        </w:rPr>
        <w:fldChar w:fldCharType="separate"/>
      </w:r>
      <w:r w:rsidRPr="00702261">
        <w:rPr>
          <w:rFonts w:ascii="Tahoma" w:hAnsi="Tahoma" w:cs="Tahoma"/>
          <w:noProof/>
        </w:rPr>
        <w:t>(Kissler et al., 2020)</w:t>
      </w:r>
      <w:r>
        <w:rPr>
          <w:rFonts w:ascii="Tahoma" w:hAnsi="Tahoma" w:cs="Tahoma"/>
        </w:rPr>
        <w:fldChar w:fldCharType="end"/>
      </w:r>
      <w:r>
        <w:rPr>
          <w:rFonts w:ascii="Tahoma" w:hAnsi="Tahoma" w:cs="Tahoma"/>
        </w:rPr>
        <w:t xml:space="preserve">.  </w:t>
      </w:r>
      <w:r w:rsidRPr="00897C87">
        <w:rPr>
          <w:rFonts w:ascii="Tahoma" w:hAnsi="Tahoma" w:cs="Tahoma"/>
        </w:rPr>
        <w:t xml:space="preserve">Dampak pandemi COVID-19 perlu disikapi secara positif dengan mengembangkan potensi-potensi sosial dengan tetap mematuhi protokol kesehatan. </w:t>
      </w:r>
      <w:r w:rsidRPr="00897C87">
        <w:rPr>
          <w:rFonts w:ascii="Tahoma" w:hAnsi="Tahoma" w:cs="Tahoma"/>
        </w:rPr>
        <w:fldChar w:fldCharType="begin" w:fldLock="1"/>
      </w:r>
      <w:r w:rsidRPr="00897C87">
        <w:rPr>
          <w:rFonts w:ascii="Tahoma" w:hAnsi="Tahoma" w:cs="Tahoma"/>
        </w:rPr>
        <w:instrText>ADDIN CSL_CITATION {"citationItems":[{"id":"ITEM-1","itemData":{"DOI":"10.1126/sciadv.abd1325","abstract":"Dramatic, short-term improvements in the global environment have accompanied the COVID-19 pandemic. Intrigued by these observations, we commissioned a series of papers for Science Advances dedicated to studies of pandemics from an environmental perspective. The first in this series is a paper by Liu et al. on the decline of nitrogen dioxide over China since the outbreak of COVID-19. Collectively, the series will explore how the Earth system as a whole – not just the human societies developed on it – is affected by pandemics like COVID-19, and how environmental conditions can influence the spread and severity of infection.The responses of governments around the world to the COVID-19 catastrophe is an ongoing, essentially uncontrolled experiment. We should not forget that this experiment is playing out in the context of another uncontrolled experiment of …","author":[{"dropping-particle":"","family":"Hodges","given":"Kip","non-dropping-particle":"","parse-names":false,"suffix":""},{"dropping-particle":"","family":"Jackson","given":"Jeremy","non-dropping-particle":"","parse-names":false,"suffix":""}],"container-title":"Science Advances","id":"ITEM-1","issued":{"date-parts":[["2020","6","12"]]},"page":"eabd1325","title":"Pandemics and the global environment","type":"article-journal"},"uris":["http://www.mendeley.com/documents/?uuid=0eecb5d6-74a9-382d-83b1-5cdfd826aeb6"]}],"mendeley":{"formattedCitation":"(Hodges &amp; Jackson, 2020)","plainTextFormattedCitation":"(Hodges &amp; Jackson, 2020)","previouslyFormattedCitation":"(Hodges &amp; Jackson,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(Hodges &amp; Jackson, 2020)</w:t>
      </w:r>
      <w:r w:rsidRPr="00897C87">
        <w:rPr>
          <w:rFonts w:ascii="Tahoma" w:hAnsi="Tahoma" w:cs="Tahoma"/>
        </w:rPr>
        <w:fldChar w:fldCharType="end"/>
      </w:r>
      <w:r w:rsidRPr="00897C87">
        <w:rPr>
          <w:rFonts w:ascii="Tahoma" w:hAnsi="Tahoma" w:cs="Tahoma"/>
        </w:rPr>
        <w:t xml:space="preserve"> menyatakan bahwa</w:t>
      </w:r>
      <w:r w:rsidRPr="00897C87">
        <w:t xml:space="preserve"> </w:t>
      </w:r>
      <w:r w:rsidRPr="00897C87">
        <w:rPr>
          <w:rFonts w:ascii="Tahoma" w:hAnsi="Tahoma" w:cs="Tahoma"/>
        </w:rPr>
        <w:t xml:space="preserve">saatnya memikirkan kembali institusi budaya, yang mampu memberikan ketahanan bagi keberlangsungan kehidupan, serta menumbuhkan kembali ekonomi. Dalam kehidupan yang disebut new normal itu,  setiap orang perlu membangun budaya baru dengan mengimplementasikan pandangan, gaya hidup, dan perilaku ekonomi baru.  Masyarakat perlu menunjukkan  tanggung jawab sosial, lebih </w:t>
      </w:r>
      <w:r w:rsidRPr="00897C87">
        <w:rPr>
          <w:rFonts w:ascii="Tahoma" w:hAnsi="Tahoma" w:cs="Tahoma"/>
        </w:rPr>
        <w:lastRenderedPageBreak/>
        <w:t xml:space="preserve">banyak berbagi, lebih peduli, lebih inklusif, dan mematuhi protokol kesehatan </w:t>
      </w:r>
      <w:r w:rsidRPr="00897C87">
        <w:rPr>
          <w:rFonts w:ascii="Tahoma" w:hAnsi="Tahoma" w:cs="Tahoma"/>
        </w:rPr>
        <w:fldChar w:fldCharType="begin" w:fldLock="1"/>
      </w:r>
      <w:r>
        <w:rPr>
          <w:rFonts w:ascii="Tahoma" w:hAnsi="Tahoma" w:cs="Tahoma"/>
        </w:rPr>
        <w:instrText>ADDIN CSL_CITATION {"citationItems":[{"id":"ITEM-1","itemData":{"DOI":"10.1126/science.abc2255","author":[{"dropping-particle":"","family":"Braun","given":"Joachim","non-dropping-particle":"von","parse-names":false,"suffix":""},{"dropping-particle":"","family":"Zamagni","given":"Stefano","non-dropping-particle":"","parse-names":false,"suffix":""},{"dropping-particle":"","family":"Sorondo","given":"Marcelo Sánchez","non-dropping-particle":"","parse-names":false,"suffix":""}],"container-title":"Science","id":"ITEM-1","issue":"6488","issued":{"date-parts":[["2020","4","17"]]},"page":"214","title":"The moment to see the poor","type":"article-journal","volume":"368"},"uris":["http://www.mendeley.com/documents/?uuid=85b86600-d289-31a6-86cc-4086512a7992"]},{"id":"ITEM-2","itemData":{"DOI":"10.1126/science.abc0035","abstract":"The ongoing COVID-19 pandemic poses a severe threat to public health worldwide. We combine data on demography, contact patterns, disease severity, and health care capacity and quality to understand its impact and inform strategies for its control. Younger populations in lower income countries may reduce overall risk but limited health system capacity coupled with closer inter-generational contact largely negates this benefit. Mitigation strategies that slow but do not interrupt transmission will still lead to COVID-19 epidemics rapidly overwhelming health systems, with substantial excess deaths in lower income countries due to the poorer health care available. Of countries that have undertaken suppression to date, lower income countries have acted earlier. However, this will need to be maintained or triggered more frequently in these settings to keep below available health capacity, with associated detrimental consequences for the wider health, well-being and economies of these countries.","author":[{"dropping-particle":"","family":"Walker","given":"Patrick G T","non-dropping-particle":"","parse-names":false,"suffix":""},{"dropping-particle":"","family":"Whittaker","given":"Charles","non-dropping-particle":"","parse-names":false,"suffix":""},{"dropping-particle":"","family":"Watson","given":"Oliver J","non-dropping-particle":"","parse-names":false,"suffix":""},{"dropping-particle":"","family":"Baguelin","given":"Marc","non-dropping-particle":"","parse-names":false,"suffix":""},{"dropping-particle":"","family":"Winskill","given":"Peter","non-dropping-particle":"","parse-names":false,"suffix":""},{"dropping-particle":"","family":"Hamlet","given":"Arran","non-dropping-particle":"","parse-names":false,"suffix":""},{"dropping-particle":"","family":"Djafaara","given":"Bimandra A","non-dropping-particle":"","parse-names":false,"suffix":""},{"dropping-particle":"","family":"Cucunubá","given":"Zulma","non-dropping-particle":"","parse-names":false,"suffix":""},{"dropping-particle":"","family":"Olivera Mesa","given":"Daniela","non-dropping-particle":"","parse-names":false,"suffix":""},{"dropping-particle":"","family":"Green","given":"Will","non-dropping-particle":"","parse-names":false,"suffix":""},{"dropping-particle":"","family":"Thompson","given":"Hayley","non-dropping-particle":"","parse-names":false,"suffix":""},{"dropping-particle":"","family":"Nayagam","given":"Shevanthi","non-dropping-particle":"","parse-names":false,"suffix":""},{"dropping-particle":"","family":"Ainslie","given":"Kylie E C","non-dropping-particle":"","parse-names":false,"suffix":""},{"dropping-particle":"","family":"Bhatia","given":"Sangeeta","non-dropping-particle":"","parse-names":false,"suffix":""},{"dropping-particle":"","family":"Bhatt","given":"Samir","non-dropping-particle":"","parse-names":false,"suffix":""},{"dropping-particle":"","family":"Boonyasiri","given":"Adhiratha","non-dropping-particle":"","parse-names":false,"suffix":""},{"dropping-particle":"","family":"Boyd","given":"Olivia","non-dropping-particle":"","parse-names":false,"suffix":""},{"dropping-particle":"","family":"Brazeau","given":"Nicholas F","non-dropping-particle":"","parse-names":false,"suffix":""},{"dropping-particle":"","family":"Cattarino","given":"Lorenzo","non-dropping-particle":"","parse-names":false,"suffix":""},{"dropping-particle":"","family":"Cuomo-Dannenburg","given":"Gina","non-dropping-particle":"","parse-names":false,"suffix":""},{"dropping-particle":"","family":"Dighe","given":"Amy","non-dropping-particle":"","parse-names":false,"suffix":""},{"dropping-particle":"","family":"Donnelly","given":"Christl A","non-dropping-particle":"","parse-names":false,"suffix":""},{"dropping-particle":"","family":"Dorigatti","given":"Ilaria","non-dropping-particle":"","parse-names":false,"suffix":""},{"dropping-particle":"","family":"Elsland","given":"Sabine L","non-dropping-particle":"van","parse-names":false,"suffix":""},{"dropping-particle":"","family":"FitzJohn","given":"Rich","non-dropping-particle":"","parse-names":false,"suffix":""},{"dropping-particle":"","family":"Fu","given":"Han","non-dropping-particle":"","parse-names":false,"suffix":""},{"dropping-particle":"","family":"Gaythorpe","given":"Katy A M","non-dropping-particle":"","parse-names":false,"suffix":""},{"dropping-particle":"","family":"Geidelberg","given":"Lily","non-dropping-particle":"","parse-names":false,"suffix":""},{"dropping-particle":"","family":"Grassly","given":"Nicholas","non-dropping-particle":"","parse-names":false,"suffix":""},{"dropping-particle":"","family":"Haw","given":"David","non-dropping-particle":"","parse-names":false,"suffix":""},{"dropping-particle":"","family":"Hayes","given":"Sarah","non-dropping-particle":"","parse-names":false,"suffix":""},{"dropping-particle":"","family":"Hinsley","given":"Wes","non-dropping-particle":"","parse-names":false,"suffix":""},{"dropping-particle":"","family":"Imai","given":"Natsuko","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Mishra","given":"Swapnil","non-dropping-particle":"","parse-names":false,"suffix":""},{"dropping-particle":"","family":"Nedjati-Gilani","given":"Gemma","non-dropping-particle":"","parse-names":false,"suffix":""},{"dropping-particle":"","family":"Okell","given":"Lucy C","non-dropping-particle":"","parse-names":false,"suffix":""},{"dropping-particle":"","family":"Unwin","given":"H Juliette","non-dropping-particle":"","parse-names":false,"suffix":""},{"dropping-particle":"","family":"Verity","given":"Robert","non-dropping-particle":"","parse-names":false,"suffix":""},{"dropping-particle":"","family":"Vollmer","given":"Michaela","non-dropping-particle":"","parse-names":false,"suffix":""},{"dropping-particle":"","family":"Walters","given":"Caroline E","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Lalloo","given":"David G","non-dropping-particle":"","parse-names":false,"suffix":""},{"dropping-particle":"","family":"Ferguson","given":"Neil M","non-dropping-particle":"","parse-names":false,"suffix":""},{"dropping-particle":"","family":"Ghani","given":"Azra C","non-dropping-particle":"","parse-names":false,"suffix":""}],"container-title":"Science","id":"ITEM-2","issued":{"date-parts":[["2020","6","12"]]},"page":"eabc0035","title":"The impact of COVID-19 and strategies for mitigation and suppression in low- and middle-income countries","type":"article-journal"},"uris":["http://www.mendeley.com/documents/?uuid=a8fc1f97-d537-3c73-a2eb-553ed2ff1f72"]}],"mendeley":{"formattedCitation":"(von Braun et al., 2020; Walker et al., 2020)","plainTextFormattedCitation":"(von Braun et al., 2020; Walker et al., 2020)","previouslyFormattedCitation":"(von Braun et al., 2020; Walker et al., 2020)"},"properties":{"noteIndex":0},"schema":"https://github.com/citation-style-language/schema/raw/master/csl-citation.json"}</w:instrText>
      </w:r>
      <w:r w:rsidRPr="00897C87">
        <w:rPr>
          <w:rFonts w:ascii="Tahoma" w:hAnsi="Tahoma" w:cs="Tahoma"/>
        </w:rPr>
        <w:fldChar w:fldCharType="separate"/>
      </w:r>
      <w:r w:rsidRPr="00431048">
        <w:rPr>
          <w:rFonts w:ascii="Tahoma" w:hAnsi="Tahoma" w:cs="Tahoma"/>
          <w:noProof/>
        </w:rPr>
        <w:t>(von Braun et al., 2020; Walker et al., 2020)</w:t>
      </w:r>
      <w:r w:rsidRPr="00897C87">
        <w:rPr>
          <w:rFonts w:ascii="Tahoma" w:hAnsi="Tahoma" w:cs="Tahoma"/>
        </w:rPr>
        <w:fldChar w:fldCharType="end"/>
      </w:r>
      <w:r w:rsidRPr="00897C87">
        <w:rPr>
          <w:rFonts w:ascii="Tahoma" w:hAnsi="Tahoma" w:cs="Tahoma"/>
        </w:rPr>
        <w:t>.</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Pada saat ini (update 21 Juni 2020), data penduduk Indo</w:t>
      </w:r>
      <w:r w:rsidR="00323F29">
        <w:rPr>
          <w:rFonts w:ascii="Tahoma" w:hAnsi="Tahoma" w:cs="Tahoma"/>
        </w:rPr>
        <w:t>ne</w:t>
      </w:r>
      <w:bookmarkStart w:id="0" w:name="_GoBack"/>
      <w:bookmarkEnd w:id="0"/>
      <w:r w:rsidRPr="00897C87">
        <w:rPr>
          <w:rFonts w:ascii="Tahoma" w:hAnsi="Tahoma" w:cs="Tahoma"/>
        </w:rPr>
        <w:t xml:space="preserve">sia yang positif terinfeksi sejumlah 45029 orang, 17883 sembuh, dan 2429 meningggal dunia (https://covid19.go.id/). Kecenderungan peningkatan kasus diduga masih akan terjadi.  Upaya melakukan pembatasan sosial telah dilakukan di berbagai wilayah yang menunjukkan jumlah kasus signifikan.  Namun, pemerintah </w:t>
      </w:r>
      <w:r>
        <w:rPr>
          <w:rFonts w:ascii="Tahoma" w:hAnsi="Tahoma" w:cs="Tahoma"/>
        </w:rPr>
        <w:t xml:space="preserve">Indonesia, dan juga negara lain, </w:t>
      </w:r>
      <w:r w:rsidRPr="00897C87">
        <w:rPr>
          <w:rFonts w:ascii="Tahoma" w:hAnsi="Tahoma" w:cs="Tahoma"/>
        </w:rPr>
        <w:t xml:space="preserve">juga mempersiapkan untuk melakukan pemulihan ekonomi melalui konsep new normal.  Konsep new normal adalah membuka kembali aktivitas layanan publik dan ekonomi bisnis dengan secara ketat menjalankan protokol kesehatan, misalnya menjaga jarak, menggunakan masker, cuci tangan, dan memelihara kesehatan; didukung standar prosedur penanganan layanan kesehatan.  </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 xml:space="preserve">Namun demikian, memasuki kondisi new normal menyisakan pertanyaan yang besar.  Pada satu sisi, kurva jumlah kasus infeksi masih menunjukkan kenaikan, dan pada saat sama, protokol kesehatan belum dijalankan secara disiplin oleh masayarakat.   Sebagaimana dikemukakan </w:t>
      </w:r>
      <w:r w:rsidRPr="00897C87">
        <w:rPr>
          <w:rFonts w:ascii="Tahoma" w:hAnsi="Tahoma" w:cs="Tahoma"/>
        </w:rPr>
        <w:fldChar w:fldCharType="begin" w:fldLock="1"/>
      </w:r>
      <w:r>
        <w:rPr>
          <w:rFonts w:ascii="Tahoma" w:hAnsi="Tahoma" w:cs="Tahoma"/>
        </w:rPr>
        <w:instrText>ADDIN CSL_CITATION {"citationItems":[{"id":"ITEM-1","itemData":{"DOI":"10.1126/science.abc2255","author":[{"dropping-particle":"","family":"Braun","given":"Joachim","non-dropping-particle":"von","parse-names":false,"suffix":""},{"dropping-particle":"","family":"Zamagni","given":"Stefano","non-dropping-particle":"","parse-names":false,"suffix":""},{"dropping-particle":"","family":"Sorondo","given":"Marcelo Sánchez","non-dropping-particle":"","parse-names":false,"suffix":""}],"container-title":"Science","id":"ITEM-1","issue":"6488","issued":{"date-parts":[["2020","4","17"]]},"page":"214","title":"The moment to see the poor","type":"article-journal","volume":"368"},"uris":["http://www.mendeley.com/documents/?uuid=85b86600-d289-31a6-86cc-4086512a7992"]}],"mendeley":{"formattedCitation":"(von Braun et al., 2020)","plainTextFormattedCitation":"(von Braun et al., 2020)","previouslyFormattedCitation":"(von Braun et al.,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(von Braun et al., 2020)</w:t>
      </w:r>
      <w:r w:rsidRPr="00897C87">
        <w:rPr>
          <w:rFonts w:ascii="Tahoma" w:hAnsi="Tahoma" w:cs="Tahoma"/>
        </w:rPr>
        <w:fldChar w:fldCharType="end"/>
      </w:r>
      <w:r w:rsidRPr="00897C87">
        <w:rPr>
          <w:rFonts w:ascii="Tahoma" w:hAnsi="Tahoma" w:cs="Tahoma"/>
        </w:rPr>
        <w:t>, banyak masyarakat belum mematuhi rambu-rambu pembatasan sosial dan protokol kesehatan karena harus memenuhi kehidupan ekonomi.</w:t>
      </w:r>
      <w:r>
        <w:rPr>
          <w:rFonts w:ascii="Tahoma" w:hAnsi="Tahoma" w:cs="Tahoma"/>
        </w:rPr>
        <w:t xml:space="preserve">  Pandemi COVID-19 di Indonesia memunculkan istilah baru terkait dengan social distancing,</w:t>
      </w:r>
      <w:r w:rsidRPr="00897C87">
        <w:rPr>
          <w:rFonts w:ascii="Tahoma" w:hAnsi="Tahoma" w:cs="Tahoma"/>
        </w:rPr>
        <w:t xml:space="preserve"> </w:t>
      </w:r>
      <w:r>
        <w:rPr>
          <w:rFonts w:ascii="Tahoma" w:hAnsi="Tahoma" w:cs="Tahoma"/>
        </w:rPr>
        <w:t xml:space="preserve">work from home, atau self-isolation, atau lockdown.  Masyarakat, kehidupan bisnis atau pemerintah terlambat merespon hal tersebut.  Pada saat yang sama sebaran informasi begitu kuat, masyarakat tidak mampu menapis informasi dari hoax </w:t>
      </w:r>
      <w:r>
        <w:rPr>
          <w:rFonts w:ascii="Tahoma" w:hAnsi="Tahoma" w:cs="Tahoma"/>
        </w:rPr>
        <w:fldChar w:fldCharType="begin" w:fldLock="1"/>
      </w:r>
      <w:r>
        <w:rPr>
          <w:rFonts w:ascii="Tahoma" w:hAnsi="Tahoma" w:cs="Tahoma"/>
        </w:rPr>
        <w:instrText>ADDIN CSL_CITATION {"citationItems":[{"id":"ITEM-1","itemData":{"DOI":"10.1016/j.pdisas.2020.100091","ISSN":"25900617","abstract":"The world is presently under an emergency situation because of the COVID-19 global pandemic, caused by a novel coronavirus. Indonesia is the fourth most populous country in the world and is predicted to be affected significantly over a longer time period. Our paper aims to provide detailed reporting and analyses of the present rapid responses to COVID-19 in Indonesia. We particularly highlight the progress of governments, key organisations and community responses to COVID-19 between January and March 2020. We outline the gaps and limitations in the responses, based on our rapid analysis of media contents, from government speeches and reports, social and mass media platforms. We present our recommendations toward more rapid, effective, and comprehensive responses.","author":[{"dropping-particle":"","family":"Djalante","given":"Riyanti","non-dropping-particle":"","parse-names":false,"suffix":""},{"dropping-particle":"","family":"Lassa","given":"Jonatan","non-dropping-particle":"","parse-names":false,"suffix":""},{"dropping-particle":"","family":"Setiamarga","given":"Davin","non-dropping-particle":"","parse-names":false,"suffix":""},{"dropping-particle":"","family":"Sudjatma","given":"Aruminingsih","non-dropping-particle":"","parse-names":false,"suffix":""},{"dropping-particle":"","family":"Indrawan","given":"Mochamad","non-dropping-particle":"","parse-names":false,"suffix":""},{"dropping-particle":"","family":"Haryanto","given":"Budi","non-dropping-particle":"","parse-names":false,"suffix":""},{"dropping-particle":"","family":"Mahfud","given":"Choirul","non-dropping-particle":"","parse-names":false,"suffix":""},{"dropping-particle":"","family":"Sinapoy","given":"Muhammad Sabaruddin","non-dropping-particle":"","parse-names":false,"suffix":""},{"dropping-particle":"","family":"Djalante","given":"Susanti","non-dropping-particle":"","parse-names":false,"suffix":""},{"dropping-particle":"","family":"Rafliana","given":"Irina","non-dropping-particle":"","parse-names":false,"suffix":""},{"dropping-particle":"","family":"Gunawan","given":"Lalu Adi","non-dropping-particle":"","parse-names":false,"suffix":""},{"dropping-particle":"","family":"Surtiari","given":"Gusti Ayu Ketut","non-dropping-particle":"","parse-names":false,"suffix":""},{"dropping-particle":"","family":"Warsilah","given":"Henny","non-dropping-particle":"","parse-names":false,"suffix":""}],"container-title":"Progress in Disaster Science","id":"ITEM-1","issued":{"date-parts":[["2020","4"]]},"page":"100091","publisher":"Elsevier BV","title":"Review and analysis of current responses to COVID-19 in Indonesia: Period of January to March 2020","type":"article-journal","volume":"6"},"uris":["http://www.mendeley.com/documents/?uuid=059b0649-4d9a-33c9-b1ed-b67b7cbd7a31"]}],"mendeley":{"formattedCitation":"(Djalante et al., 2020)","plainTextFormattedCitation":"(Djalante et al., 2020)","previouslyFormattedCitation":"(Djalante et al., 2020)"},"properties":{"noteIndex":0},"schema":"https://github.com/citation-style-language/schema/raw/master/csl-citation.json"}</w:instrText>
      </w:r>
      <w:r>
        <w:rPr>
          <w:rFonts w:ascii="Tahoma" w:hAnsi="Tahoma" w:cs="Tahoma"/>
        </w:rPr>
        <w:fldChar w:fldCharType="separate"/>
      </w:r>
      <w:r w:rsidRPr="005338C8">
        <w:rPr>
          <w:rFonts w:ascii="Tahoma" w:hAnsi="Tahoma" w:cs="Tahoma"/>
          <w:noProof/>
        </w:rPr>
        <w:t>(Djalante et al., 2020)</w:t>
      </w:r>
      <w:r>
        <w:rPr>
          <w:rFonts w:ascii="Tahoma" w:hAnsi="Tahoma" w:cs="Tahoma"/>
        </w:rPr>
        <w:fldChar w:fldCharType="end"/>
      </w:r>
      <w:r>
        <w:rPr>
          <w:rFonts w:ascii="Tahoma" w:hAnsi="Tahoma" w:cs="Tahoma"/>
        </w:rPr>
        <w:t xml:space="preserve">. </w:t>
      </w:r>
      <w:r w:rsidRPr="00897C87">
        <w:rPr>
          <w:rFonts w:ascii="Tahoma" w:hAnsi="Tahoma" w:cs="Tahoma"/>
        </w:rPr>
        <w:t>Hal ini menjadi pertanyaan besar dalam menghadapi periode new normal.</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Sementara itu, di masyarakat juga muncul reaksi positif menyikapi pandemi</w:t>
      </w:r>
      <w:r w:rsidRPr="00897C87">
        <w:t xml:space="preserve"> </w:t>
      </w:r>
      <w:r w:rsidRPr="00897C87">
        <w:rPr>
          <w:rFonts w:ascii="Tahoma" w:hAnsi="Tahoma" w:cs="Tahoma"/>
        </w:rPr>
        <w:t xml:space="preserve">COVID-19. Sebagaimana </w:t>
      </w:r>
      <w:r w:rsidRPr="00897C87">
        <w:rPr>
          <w:rFonts w:ascii="Tahoma" w:hAnsi="Tahoma" w:cs="Tahoma"/>
        </w:rPr>
        <w:fldChar w:fldCharType="begin" w:fldLock="1"/>
      </w:r>
      <w:r w:rsidRPr="00897C87">
        <w:rPr>
          <w:rFonts w:ascii="Tahoma" w:hAnsi="Tahoma" w:cs="Tahoma"/>
        </w:rPr>
        <w:instrText>ADDIN CSL_CITATION {"citationItems":[{"id":"ITEM-1","itemData":{"DOI":"10.1126/sciadv.abd1325","abstract":"Dramatic, short-term improvements in the global environment have accompanied the COVID-19 pandemic. Intrigued by these observations, we commissioned a series of papers for Science Advances dedicated to studies of pandemics from an environmental perspective. The first in this series is a paper by Liu et al. on the decline of nitrogen dioxide over China since the outbreak of COVID-19. Collectively, the series will explore how the Earth system as a whole – not just the human societies developed on it – is affected by pandemics like COVID-19, and how environmental conditions can influence the spread and severity of infection.The responses of governments around the world to the COVID-19 catastrophe is an ongoing, essentially uncontrolled experiment. We should not forget that this experiment is playing out in the context of another uncontrolled experiment of …","author":[{"dropping-particle":"","family":"Hodges","given":"Kip","non-dropping-particle":"","parse-names":false,"suffix":""},{"dropping-particle":"","family":"Jackson","given":"Jeremy","non-dropping-particle":"","parse-names":false,"suffix":""}],"container-title":"Science Advances","id":"ITEM-1","issued":{"date-parts":[["2020","6","12"]]},"page":"eabd1325","title":"Pandemics and the global environment","type":"article-journal"},"uris":["http://www.mendeley.com/documents/?uuid=0eecb5d6-74a9-382d-83b1-5cdfd826aeb6"]}],"mendeley":{"formattedCitation":"(Hodges &amp; Jackson, 2020)","plainTextFormattedCitation":"(Hodges &amp; Jackson, 2020)","previouslyFormattedCitation":"(Hodges &amp; Jackson,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(Hodges &amp; Jackson, 2020)</w:t>
      </w:r>
      <w:r w:rsidRPr="00897C87">
        <w:rPr>
          <w:rFonts w:ascii="Tahoma" w:hAnsi="Tahoma" w:cs="Tahoma"/>
        </w:rPr>
        <w:fldChar w:fldCharType="end"/>
      </w:r>
      <w:r w:rsidRPr="00897C87">
        <w:rPr>
          <w:rFonts w:ascii="Tahoma" w:hAnsi="Tahoma" w:cs="Tahoma"/>
        </w:rPr>
        <w:t xml:space="preserve">, peran institusi atau budaya dapat bereaksi secara positif dan mampu memberikan ketahanan dalam pandemi.  Ketahanan masyarakat dapat didekati melalui konsep kapasitas sosial dan modal sosial.  Ini terlihat dari respon masyarakat dalam masa pandemi dengan membantu masyarakat terdampak, misalnya membagi bahan pokok, membagi masker, </w:t>
      </w:r>
      <w:r>
        <w:rPr>
          <w:rFonts w:ascii="Tahoma" w:hAnsi="Tahoma" w:cs="Tahoma"/>
        </w:rPr>
        <w:t xml:space="preserve">pembatasan tamu, </w:t>
      </w:r>
      <w:r w:rsidRPr="00897C87">
        <w:rPr>
          <w:rFonts w:ascii="Tahoma" w:hAnsi="Tahoma" w:cs="Tahoma"/>
        </w:rPr>
        <w:t xml:space="preserve">mengaktifkan pos keamanan swadaya, dan </w:t>
      </w:r>
      <w:r>
        <w:rPr>
          <w:rFonts w:ascii="Tahoma" w:hAnsi="Tahoma" w:cs="Tahoma"/>
        </w:rPr>
        <w:t>aktivitas solidaritas sosial</w:t>
      </w:r>
      <w:r w:rsidRPr="00897C87">
        <w:rPr>
          <w:rFonts w:ascii="Tahoma" w:hAnsi="Tahoma" w:cs="Tahoma"/>
        </w:rPr>
        <w:t xml:space="preserve"> lainnya</w:t>
      </w:r>
      <w:r>
        <w:rPr>
          <w:rFonts w:ascii="Tahoma" w:hAnsi="Tahoma" w:cs="Tahoma"/>
        </w:rPr>
        <w:t xml:space="preserve"> </w:t>
      </w:r>
      <w:r>
        <w:rPr>
          <w:rFonts w:ascii="Tahoma" w:hAnsi="Tahoma" w:cs="Tahoma"/>
        </w:rPr>
        <w:fldChar w:fldCharType="begin" w:fldLock="1"/>
      </w:r>
      <w:r>
        <w:rPr>
          <w:rFonts w:ascii="Tahoma" w:hAnsi="Tahoma" w:cs="Tahoma"/>
        </w:rPr>
        <w:instrText>ADDIN CSL_CITATION {"citationItems":[{"id":"ITEM-1","itemData":{"DOI":"10.1016/j.pdisas.2020.100091","ISSN":"25900617","abstract":"The world is presently under an emergency situation because of the COVID-19 global pandemic, caused by a novel coronavirus. Indonesia is the fourth most populous country in the world and is predicted to be affected significantly over a longer time period. Our paper aims to provide detailed reporting and analyses of the present rapid responses to COVID-19 in Indonesia. We particularly highlight the progress of governments, key organisations and community responses to COVID-19 between January and March 2020. We outline the gaps and limitations in the responses, based on our rapid analysis of media contents, from government speeches and reports, social and mass media platforms. We present our recommendations toward more rapid, effective, and comprehensive responses.","author":[{"dropping-particle":"","family":"Djalante","given":"Riyanti","non-dropping-particle":"","parse-names":false,"suffix":""},{"dropping-particle":"","family":"Lassa","given":"Jonatan","non-dropping-particle":"","parse-names":false,"suffix":""},{"dropping-particle":"","family":"Setiamarga","given":"Davin","non-dropping-particle":"","parse-names":false,"suffix":""},{"dropping-particle":"","family":"Sudjatma","given":"Aruminingsih","non-dropping-particle":"","parse-names":false,"suffix":""},{"dropping-particle":"","family":"Indrawan","given":"Mochamad","non-dropping-particle":"","parse-names":false,"suffix":""},{"dropping-particle":"","family":"Haryanto","given":"Budi","non-dropping-particle":"","parse-names":false,"suffix":""},{"dropping-particle":"","family":"Mahfud","given":"Choirul","non-dropping-particle":"","parse-names":false,"suffix":""},{"dropping-particle":"","family":"Sinapoy","given":"Muhammad Sabaruddin","non-dropping-particle":"","parse-names":false,"suffix":""},{"dropping-particle":"","family":"Djalante","given":"Susanti","non-dropping-particle":"","parse-names":false,"suffix":""},{"dropping-particle":"","family":"Rafliana","given":"Irina","non-dropping-particle":"","parse-names":false,"suffix":""},{"dropping-particle":"","family":"Gunawan","given":"Lalu Adi","non-dropping-particle":"","parse-names":false,"suffix":""},{"dropping-particle":"","family":"Surtiari","given":"Gusti Ayu Ketut","non-dropping-particle":"","parse-names":false,"suffix":""},{"dropping-particle":"","family":"Warsilah","given":"Henny","non-dropping-particle":"","parse-names":false,"suffix":""}],"container-title":"Progress in Disaster Science","id":"ITEM-1","issued":{"date-parts":[["2020","4"]]},"page":"100091","publisher":"Elsevier BV","title":"Review and analysis of current responses to COVID-19 in Indonesia: Period of January to March 2020","type":"article-journal","volume":"6"},"uris":["http://www.mendeley.com/documents/?uuid=059b0649-4d9a-33c9-b1ed-b67b7cbd7a31"]}],"mendeley":{"formattedCitation":"(Djalante et al., 2020)","plainTextFormattedCitation":"(Djalante et al., 2020)","previouslyFormattedCitation":"(Djalante et al., 2020)"},"properties":{"noteIndex":0},"schema":"https://github.com/citation-style-language/schema/raw/master/csl-citation.json"}</w:instrText>
      </w:r>
      <w:r>
        <w:rPr>
          <w:rFonts w:ascii="Tahoma" w:hAnsi="Tahoma" w:cs="Tahoma"/>
        </w:rPr>
        <w:fldChar w:fldCharType="separate"/>
      </w:r>
      <w:r w:rsidRPr="005338C8">
        <w:rPr>
          <w:rFonts w:ascii="Tahoma" w:hAnsi="Tahoma" w:cs="Tahoma"/>
          <w:noProof/>
        </w:rPr>
        <w:t>(Djalante et al., 2020)</w:t>
      </w:r>
      <w:r>
        <w:rPr>
          <w:rFonts w:ascii="Tahoma" w:hAnsi="Tahoma" w:cs="Tahoma"/>
        </w:rPr>
        <w:fldChar w:fldCharType="end"/>
      </w:r>
      <w:r w:rsidRPr="00897C87">
        <w:rPr>
          <w:rFonts w:ascii="Tahoma" w:hAnsi="Tahoma" w:cs="Tahoma"/>
        </w:rPr>
        <w:t xml:space="preserve">.  Pada </w:t>
      </w:r>
      <w:r>
        <w:rPr>
          <w:rFonts w:ascii="Tahoma" w:hAnsi="Tahoma" w:cs="Tahoma"/>
        </w:rPr>
        <w:t xml:space="preserve">saat </w:t>
      </w:r>
      <w:r w:rsidRPr="00897C87">
        <w:rPr>
          <w:rFonts w:ascii="Tahoma" w:hAnsi="Tahoma" w:cs="Tahoma"/>
        </w:rPr>
        <w:t xml:space="preserve">yang sama aktivitas ekonomi memunculkan fenomena baru, yakni munculnya transaksi online atau direct selling dari produsen ke konsumen tanpa melalui pasar akibat penerapan pembatasan wilayah. </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 xml:space="preserve">Kapasitas sosial adalah intrumen yang mampu mengorganisasikan kompleksitas, melalui pengaturan, kerjasama dan pemberdayaan pihak-pihak yang terlibat.  Bangunan kapasitas sosial menjadi komponen penting dalam keberlanjutan pengelolaan sumberdaya </w:t>
      </w:r>
      <w:r w:rsidRPr="00897C87">
        <w:rPr>
          <w:rFonts w:ascii="Tahoma" w:hAnsi="Tahoma" w:cs="Tahoma"/>
        </w:rPr>
        <w:lastRenderedPageBreak/>
        <w:fldChar w:fldCharType="begin" w:fldLock="1"/>
      </w:r>
      <w:r w:rsidRPr="00897C87">
        <w:rPr>
          <w:rFonts w:ascii="Tahoma" w:hAnsi="Tahoma" w:cs="Tahoma"/>
        </w:rPr>
        <w:instrText>ADDIN CSL_CITATION {"citationItems":[{"id":"ITEM-1","itemData":{"DOI":"10.1007/s11625-018-0538-5","ISSN":"18624057","abstract":"How can we restore the ecological balance of our planet? The present article is aimed at contributing a structural framework for such a restoration. In the quest for ecological recovery, cybernetic-systemic approaches are in demand. They specialize in coping with complexity and offer new, transdisciplinary and non-reductionist ways of system design for renewing sustainability. This contribution uses a proven model from organizational cybernetics-the viable system model-as a frame for sustainable development. The model specifies how the viability of any human or social system can be achieved by means of clearly defined organizational structures. In accord with the logic of recursive organization inherent in the model, a proposal for a structural design aimed at enabling ecological recovery is formulated. That design includes all organizational levels of recursion, from individual to world. The implications of such a novel approach are far-reaching, and the impact powerful.","author":[{"dropping-particle":"","family":"Schwaninger","given":"Markus","non-dropping-particle":"","parse-names":false,"suffix":""}],"container-title":"Sustainability Science","id":"ITEM-1","issue":"5","issued":{"date-parts":[["2018","9","1"]]},"page":"1225-1234","publisher":"Springer Tokyo","title":"Systemic design for sustainability","type":"article-journal","volume":"13"},"uris":["http://www.mendeley.com/documents/?uuid=3ed8587e-d747-3885-bc68-ee02f7d54ecf"]}],"mendeley":{"formattedCitation":"(Schwaninger, 2018)","plainTextFormattedCitation":"(Schwaninger, 2018)","previouslyFormattedCitation":"(Schwaninger, 2018)"},"properties":{"noteIndex":0},"schema":"https://github.com/citation-style-language/schema/raw/master/csl-citation.json"}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(Schwaninger, 2018)</w:t>
      </w:r>
      <w:r w:rsidRPr="00897C87">
        <w:rPr>
          <w:rFonts w:ascii="Tahoma" w:hAnsi="Tahoma" w:cs="Tahoma"/>
        </w:rPr>
        <w:fldChar w:fldCharType="end"/>
      </w:r>
      <w:r w:rsidRPr="00897C87">
        <w:rPr>
          <w:rFonts w:ascii="Tahoma" w:hAnsi="Tahoma" w:cs="Tahoma"/>
        </w:rPr>
        <w:t xml:space="preserve">.  Modal sosial adalah konsep yang mengacu kepada ikatan-ikatan sosial </w:t>
      </w:r>
      <w:r w:rsidRPr="00897C87">
        <w:rPr>
          <w:rFonts w:ascii="Tahoma" w:hAnsi="Tahoma" w:cs="Tahoma"/>
        </w:rPr>
        <w:fldChar w:fldCharType="begin" w:fldLock="1"/>
      </w:r>
      <w:r w:rsidRPr="00897C87">
        <w:rPr>
          <w:rFonts w:ascii="Tahoma" w:hAnsi="Tahoma" w:cs="Tahoma"/>
        </w:rPr>
        <w:instrText>ADDIN CSL_CITATION {"citationItems":[{"id":"ITEM-1","itemData":{"DOI":"10.1017/S1474746403001052","ISBN":"1474-7464","ISSN":"14747464","abstract":"In this paper Putnam discusses the measurement challenges and some of the effects of Social Capital in the U.S. His definition of social capital revolves around the notion that networks and the reciprocity norms related to them are of value and that social capital as well as human capital have the potential to produce private and public (externalities) returns simultaneously. These returns can be both positive and negative. As is the case with physical capital, social capital is far from homogenous so the author suggests that before attempting to measure it, we need to identify the forms and types it can take (and may be a common feature, i.e. monetary value, in order to be able to add it and study it at the aggregate level?). Social capital can be formal or informal, thick (as in increased contact) or thin (not so often contact), used for good or bad. Putnam acknowledges and agrees with Woolcock in arguing that one of the most defining characteristics of social capital is the whether it is bridging or bonding. In terms of measurement, there is no available source capable to produce a clear, significant and reliable measure for social capital so the methodology followed is to attempt to identify common trends and draw conclusions through various different sources. The sources used are 1) Membership data of U.S. wide organisations (market share of organisations in the U.S.. This measure has 2 drawbacks, 1) no new organisation after 1900 was considered due to comparability issues, 2) Membership in organisations or clubs may have been substituted by more informal structures such as meeting friends at home etc. The solution came from two new datasets 1) the Roper survey and 2) the DDB Needham that cover a much larger extent of social capital forms), 2) Social Trust (Putnam recognises social trust not as a form of social capital but rather as its consequence (agreement with Woolcock, disagreement with Coleman) and hence a good proxy of social capital. The data shows that social trust falls as we move from one generation to the next in accordance with the rest of the sources) 3) Altruism and Philanthropy (closely related to social connectedness and hence it is a good indirect measure of social capital) and 4) Share of lawyers in the U.S. workforce (Social capital serves as an enforcing power on social obligations, tacit agreements and informal contracts. A reduction in social capital would hence create a need for more formal structures to ensure trust such as…","author":[{"dropping-particle":"","family":"Putnam","given":"Robert","non-dropping-particle":"","parse-names":false,"suffix":""}],"container-title":"Canadian Journal of Policy Research","id":"ITEM-1","issue":"1","issued":{"date-parts":[["2001"]]},"page":"41-51","title":"Social capital: Measurement and consequences","type":"article-journal","volume":"2"},"uris":["http://www.mendeley.com/documents/?uuid=03222274-63b1-3d88-a19d-122a615fceac"]}],"mendeley":{"formattedCitation":"(Putnam, 2001)","plainTextFormattedCitation":"(Putnam, 2001)","previouslyFormattedCitation":"(Putnam, 2001)"},"properties":{"noteIndex":0},"schema":"https://github.com/citation-style-language/schema/raw/master/csl-citation.json"}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(Putnam, 2001)</w:t>
      </w:r>
      <w:r w:rsidRPr="00897C87">
        <w:rPr>
          <w:rFonts w:ascii="Tahoma" w:hAnsi="Tahoma" w:cs="Tahoma"/>
        </w:rPr>
        <w:fldChar w:fldCharType="end"/>
      </w:r>
      <w:r w:rsidRPr="00897C87">
        <w:rPr>
          <w:rFonts w:ascii="Tahoma" w:hAnsi="Tahoma" w:cs="Tahoma"/>
        </w:rPr>
        <w:t xml:space="preserve"> untuk menghasilkan pemberdayaan dan partisipasi masyarakat disertai komitmen dan kinerja kehidupan yang optimal </w:t>
      </w:r>
      <w:r w:rsidRPr="00897C87">
        <w:rPr>
          <w:rFonts w:ascii="Tahoma" w:hAnsi="Tahoma" w:cs="Tahoma"/>
        </w:rPr>
        <w:fldChar w:fldCharType="begin" w:fldLock="1"/>
      </w:r>
      <w:r w:rsidRPr="00897C87">
        <w:rPr>
          <w:rFonts w:ascii="Tahoma" w:hAnsi="Tahoma" w:cs="Tahoma"/>
        </w:rPr>
        <w:instrText>ADDIN CSL_CITATION {"citationItems":[{"id":"ITEM-1","itemData":{"DOI":"10.5089/9781451849585.001","author":[{"dropping-particle":"","family":"Fukuyama","given":"F","non-dropping-particle":"","parse-names":false,"suffix":""}],"id":"ITEM-1","issued":{"date-parts":[["2000"]]},"number-of-pages":"18","publisher-place":"Washington, D.C., Amerika","title":"Social Capital and Civil Society","type":"report"},"uris":["http://www.mendeley.com/documents/?uuid=468be5bb-5af9-33b1-8168-716b964327c2"]},{"id":"ITEM-2","itemData":{"DOI":"10.1080/10511482.2001.9521429","ISSN":"10511482","abstract":"Abstract This article argues that contemporary interest in social capital by community development theorists, funders, and practitioners is misguided and needs to be thoroughly rethought. It argues that social capital, as understood by Robert Putnam and people influenced by his work, is a fundamentally flawed concept because it fails to understand issues of power in the production of communities and because it is divorced from economic capital. Therefore, community development practice based on this understanding of social capital is, and will continue to be, similarly flawed. The article further argues that instead of Putnam's understanding of social capital, community development practice would be better served by returning to the way the concept was used by Glenn Loury and Pierre Bourdieu and concludes with a discussion of how these alternative theories of social capital can be realized in community development practice.; Abstract This article argues that contemporary interest in social capital by community development theorists, funders, and practitioners is misguided and needs to be thoroughly rethought. It argues that social capital, as understood by Robert Putnam and people influenced by his work, is a fundamentally flawed concept because it fails to understand issues of power in the production of communities and because it is divorced from economic capital. Therefore, community development practice based on this understanding of social capital is, and will continue to be, similarly flawed. The article further argues that instead of Putnam's understanding of social capital, community development practice would be better served by returning to the way the concept was used by Glenn Loury and Pierre Bourdieu and concludes with a discussion of how these alternative theories of social capital can be realized in community development practice.","author":[{"dropping-particle":"","family":"DeFilippis","given":"James","non-dropping-particle":"","parse-names":false,"suffix":""}],"container-title":"Housing Policy Debate","id":"ITEM-2","issue":"4","issued":{"date-parts":[["2001"]]},"page":"781-806","title":"The myth of social capital in community development","type":"article-journal","volume":"12"},"uris":["http://www.mendeley.com/documents/?uuid=d936a525-9e09-3849-b312-bd53c6cb4ec5"]}],"mendeley":{"formattedCitation":"(DeFilippis, 2001; Fukuyama, 2000)","plainTextFormattedCitation":"(DeFilippis, 2001; Fukuyama, 2000)","previouslyFormattedCitation":"(DeFilippis, 2001; Fukuyama, 2000)"},"properties":{"noteIndex":0},"schema":"https://github.com/citation-style-language/schema/raw/master/csl-citation.json"}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(DeFilippis, 2001; Fukuyama, 2000)</w:t>
      </w:r>
      <w:r w:rsidRPr="00897C87">
        <w:rPr>
          <w:rFonts w:ascii="Tahoma" w:hAnsi="Tahoma" w:cs="Tahoma"/>
        </w:rPr>
        <w:fldChar w:fldCharType="end"/>
      </w:r>
      <w:r w:rsidRPr="00897C87">
        <w:rPr>
          <w:rFonts w:ascii="Tahoma" w:hAnsi="Tahoma" w:cs="Tahoma"/>
        </w:rPr>
        <w:t xml:space="preserve">.  </w:t>
      </w:r>
      <w:r w:rsidRPr="00897C87">
        <w:rPr>
          <w:rFonts w:ascii="Tahoma" w:hAnsi="Tahoma" w:cs="Tahoma"/>
          <w:color w:val="000000"/>
        </w:rPr>
        <w:t xml:space="preserve">Modal sosial adalah fondasi masyarakat yang dapat menyelesaikan masalah dan merupakan kekuatan bagi masyarakat untuk mandiri dan mempertahankan diri. Semakin banyak modal sosial yang dimiliki, semakin kuat pula kapasitas sosial masyarakat tersebut </w:t>
      </w:r>
      <w:r w:rsidRPr="00897C87">
        <w:rPr>
          <w:rFonts w:ascii="Tahoma" w:hAnsi="Tahoma" w:cs="Tahoma"/>
          <w:color w:val="000000"/>
        </w:rPr>
        <w:fldChar w:fldCharType="begin" w:fldLock="1"/>
      </w:r>
      <w:r w:rsidRPr="00897C87">
        <w:rPr>
          <w:rFonts w:ascii="Tahoma" w:hAnsi="Tahoma" w:cs="Tahoma"/>
          <w:color w:val="000000"/>
        </w:rPr>
        <w:instrText>ADDIN CSL_CITATION {"citationItems":[{"id":"ITEM-1","itemData":{"DOI":"10.1016/j.proeng.2012.02.069","ISSN":"18777058","abstract":"The objective of this article is to explain the relation between social capital and the strength of sufficiency economy communities. The studied areas (communities) are Bann Rang E-Meay and Bann Saradin in Nakhon Pathom province. The researcher studied social capital in twelve community organizations in Bann Rang E-Meay and six community organizations in Bann Saradin. The results of this study are 1) the community organizations in both communities can be categorized into two groups which are established by the government and by the people's participation (natural group): 2) social capital is the most important foundation to strengthen the communities: and 3) social capital is related to the sufficiency economy way of life. © 2010 Published by Elsevier Ltd.","author":[{"dropping-particle":"","family":"Amornsiriphong","given":"S.","non-dropping-particle":"","parse-names":false,"suffix":""},{"dropping-particle":"","family":"Piemyat","given":"S.","non-dropping-particle":"","parse-names":false,"suffix":""},{"dropping-particle":"","family":"Charoenrat","given":"O.","non-dropping-particle":"","parse-names":false,"suffix":""}],"container-title":"Procedia Engineering","id":"ITEM-1","issued":{"date-parts":[["2012"]]},"page":"1147-1151","publisher":"Elsevier Ltd","title":"Social capital: Foundation to strengthen the sufficiency economy communities","type":"paper-conference","volume":"32"},"uris":["http://www.mendeley.com/documents/?uuid=4c58d835-8a52-3cee-bd11-4fdb8256a4a4"]}],"mendeley":{"formattedCitation":"(Amornsiriphong, Piemyat, &amp; Charoenrat, 2012)","plainTextFormattedCitation":"(Amornsiriphong, Piemyat, &amp; Charoenrat, 2012)","previouslyFormattedCitation":"(Amornsiriphong, Piemyat, &amp; Charoenrat, 2012)"},"properties":{"noteIndex":0},"schema":"https://github.com/citation-style-language/schema/raw/master/csl-citation.json"}</w:instrText>
      </w:r>
      <w:r w:rsidRPr="00897C87">
        <w:rPr>
          <w:rFonts w:ascii="Tahoma" w:hAnsi="Tahoma" w:cs="Tahoma"/>
          <w:color w:val="000000"/>
        </w:rPr>
        <w:fldChar w:fldCharType="separate"/>
      </w:r>
      <w:r w:rsidRPr="00897C87">
        <w:rPr>
          <w:rFonts w:ascii="Tahoma" w:hAnsi="Tahoma" w:cs="Tahoma"/>
          <w:noProof/>
          <w:color w:val="000000"/>
        </w:rPr>
        <w:t>(Amornsiriphong, Piemyat, &amp; Charoenrat, 2012)</w:t>
      </w:r>
      <w:r w:rsidRPr="00897C87">
        <w:rPr>
          <w:rFonts w:ascii="Tahoma" w:hAnsi="Tahoma" w:cs="Tahoma"/>
          <w:color w:val="000000"/>
        </w:rPr>
        <w:fldChar w:fldCharType="end"/>
      </w:r>
      <w:r>
        <w:rPr>
          <w:rFonts w:ascii="Tahoma" w:hAnsi="Tahoma" w:cs="Tahoma"/>
          <w:color w:val="000000"/>
        </w:rPr>
        <w:t xml:space="preserve">.  </w:t>
      </w:r>
      <w:r w:rsidRPr="00897C87">
        <w:rPr>
          <w:rFonts w:ascii="Tahoma" w:hAnsi="Tahoma" w:cs="Tahoma"/>
        </w:rPr>
        <w:t xml:space="preserve">Modal sosial sebagai stok, menyediakan medium bagi berkembangnya kapasitas sosial. Kapasitas sosial memberikan arahan perencanaan manajemen suatu sumberdaya berkelanjutan.  </w:t>
      </w:r>
    </w:p>
    <w:p w:rsidR="0081323C" w:rsidRPr="00897C87" w:rsidRDefault="0081323C" w:rsidP="0081323C">
      <w:pPr>
        <w:autoSpaceDE w:val="0"/>
        <w:autoSpaceDN w:val="0"/>
        <w:adjustRightInd w:val="0"/>
        <w:spacing w:after="0" w:line="360" w:lineRule="auto"/>
        <w:ind w:firstLine="426"/>
        <w:jc w:val="both"/>
        <w:rPr>
          <w:rFonts w:ascii="Tahoma" w:hAnsi="Tahoma" w:cs="Tahoma"/>
        </w:rPr>
      </w:pPr>
      <w:r w:rsidRPr="00897C87">
        <w:rPr>
          <w:rFonts w:ascii="Tahoma" w:hAnsi="Tahoma" w:cs="Tahoma"/>
        </w:rPr>
        <w:t>Memasuki kehidupan new normal tentu sangat menarik untuk diteliti.  Dua masalah yang ingin diaddre</w:t>
      </w:r>
      <w:r>
        <w:rPr>
          <w:rFonts w:ascii="Tahoma" w:hAnsi="Tahoma" w:cs="Tahoma"/>
        </w:rPr>
        <w:t>s</w:t>
      </w:r>
      <w:r w:rsidRPr="00897C87">
        <w:rPr>
          <w:rFonts w:ascii="Tahoma" w:hAnsi="Tahoma" w:cs="Tahoma"/>
        </w:rPr>
        <w:t>s adalah bagaimana kedisiplinan menjalankan protokol kesehatan dan pembatasan sosial, dan bagaimana kepasitas sosial dan modal sosial sebagai ukuran ketahanan masyarakat menghadapi pandemi COVID-19.  Dalam penelitian ini, modal sosial didekati dari deskripsi norma, trust, jaringan dan partisipasi.  Sementara kapasitas sosial didekati dari pengaturan hubungan aspek sosial, social distancing dan ekonomi dalam pengelolaan penanganan COVID-19.  Pengaturan dapat membentuk model pengelolaan, menunjukkan komponen paling kritikal, dan menyediakan alternatif pengambilan keputusan</w:t>
      </w:r>
      <w:r w:rsidRPr="00897C87">
        <w:t xml:space="preserve"> </w:t>
      </w:r>
      <w:r w:rsidRPr="00897C87">
        <w:rPr>
          <w:rFonts w:ascii="Tahoma" w:hAnsi="Tahoma" w:cs="Tahoma"/>
        </w:rPr>
        <w:t xml:space="preserve">dalam pengelolaan penanganan COVID-19. Tema penelitian ini belum pernah diteliti sebelumnya. </w:t>
      </w:r>
    </w:p>
    <w:p w:rsidR="0081323C" w:rsidRPr="00897C87" w:rsidRDefault="0081323C" w:rsidP="0081323C">
      <w:pPr>
        <w:spacing w:after="0" w:line="360" w:lineRule="auto"/>
        <w:ind w:firstLine="426"/>
        <w:jc w:val="both"/>
        <w:rPr>
          <w:rFonts w:ascii="Tahoma" w:hAnsi="Tahoma" w:cs="Tahoma"/>
        </w:rPr>
      </w:pPr>
      <w:r w:rsidRPr="00897C87">
        <w:rPr>
          <w:rFonts w:ascii="Tahoma" w:hAnsi="Tahoma" w:cs="Tahoma"/>
        </w:rPr>
        <w:t>Penelitian ini bertujuan untuk mendeskripsikan peran modal sosial dan implementasinya dalam kapasitas sosial dalam masa pandemi COVID-19</w:t>
      </w:r>
      <w:r>
        <w:rPr>
          <w:rFonts w:ascii="Tahoma" w:hAnsi="Tahoma" w:cs="Tahoma"/>
        </w:rPr>
        <w:t xml:space="preserve"> dan menuju new normal</w:t>
      </w:r>
      <w:r w:rsidRPr="00897C87">
        <w:rPr>
          <w:rFonts w:ascii="Tahoma" w:hAnsi="Tahoma" w:cs="Tahoma"/>
        </w:rPr>
        <w:t>.</w:t>
      </w:r>
      <w:r w:rsidRPr="00897C87">
        <w:t xml:space="preserve"> </w:t>
      </w:r>
      <w:r w:rsidRPr="00897C87">
        <w:rPr>
          <w:rFonts w:ascii="Tahoma" w:hAnsi="Tahoma" w:cs="Tahoma"/>
        </w:rPr>
        <w:t xml:space="preserve"> </w:t>
      </w:r>
    </w:p>
    <w:p w:rsidR="0081323C" w:rsidRDefault="0081323C" w:rsidP="0081323C">
      <w:pPr>
        <w:spacing w:after="0" w:line="360" w:lineRule="auto"/>
        <w:ind w:firstLine="426"/>
        <w:jc w:val="both"/>
        <w:rPr>
          <w:rFonts w:ascii="Tahoma" w:hAnsi="Tahoma" w:cs="Tahoma"/>
        </w:rPr>
      </w:pPr>
    </w:p>
    <w:p w:rsidR="0081323C" w:rsidRPr="0081088D" w:rsidRDefault="0081323C" w:rsidP="0081323C">
      <w:pPr>
        <w:spacing w:after="0" w:line="360" w:lineRule="auto"/>
        <w:jc w:val="both"/>
        <w:rPr>
          <w:rFonts w:ascii="Tahoma" w:hAnsi="Tahoma" w:cs="Tahoma"/>
          <w:b/>
          <w:szCs w:val="18"/>
        </w:rPr>
      </w:pPr>
      <w:r w:rsidRPr="0081088D">
        <w:rPr>
          <w:rFonts w:ascii="Tahoma" w:hAnsi="Tahoma" w:cs="Tahoma"/>
          <w:b/>
          <w:szCs w:val="18"/>
        </w:rPr>
        <w:t>TINJAUAN PUSTAKA</w:t>
      </w:r>
    </w:p>
    <w:p w:rsidR="0081323C" w:rsidRPr="0081088D" w:rsidRDefault="0081323C" w:rsidP="0081323C">
      <w:pPr>
        <w:spacing w:before="120" w:after="0" w:line="360" w:lineRule="auto"/>
        <w:jc w:val="both"/>
        <w:rPr>
          <w:rFonts w:ascii="Tahoma" w:hAnsi="Tahoma" w:cs="Tahoma"/>
          <w:b/>
          <w:szCs w:val="18"/>
        </w:rPr>
      </w:pPr>
      <w:r w:rsidRPr="0081088D">
        <w:rPr>
          <w:rFonts w:ascii="Tahoma" w:hAnsi="Tahoma" w:cs="Tahoma"/>
          <w:b/>
          <w:szCs w:val="18"/>
        </w:rPr>
        <w:t>Social Distancing</w:t>
      </w:r>
      <w:r>
        <w:rPr>
          <w:rFonts w:ascii="Tahoma" w:hAnsi="Tahoma" w:cs="Tahoma"/>
          <w:b/>
          <w:szCs w:val="18"/>
        </w:rPr>
        <w:t xml:space="preserve"> dan Pandemi COVID-19</w:t>
      </w:r>
    </w:p>
    <w:p w:rsidR="0081323C" w:rsidRPr="009823A3" w:rsidRDefault="0081323C" w:rsidP="0081323C">
      <w:pPr>
        <w:spacing w:after="0" w:line="360" w:lineRule="auto"/>
        <w:ind w:firstLine="426"/>
        <w:jc w:val="both"/>
        <w:rPr>
          <w:rFonts w:ascii="Tahoma" w:hAnsi="Tahoma" w:cs="Tahoma"/>
        </w:rPr>
      </w:pPr>
      <w:r w:rsidRPr="00897C87">
        <w:rPr>
          <w:rFonts w:ascii="Tahoma" w:hAnsi="Tahoma" w:cs="Tahoma"/>
        </w:rPr>
        <w:t xml:space="preserve">Upaya penanganan </w:t>
      </w:r>
      <w:r>
        <w:rPr>
          <w:rFonts w:ascii="Tahoma" w:hAnsi="Tahoma" w:cs="Tahoma"/>
        </w:rPr>
        <w:t>penyebaran penyakit infeksi pernafasan</w:t>
      </w:r>
      <w:r w:rsidRPr="00897C87">
        <w:rPr>
          <w:rFonts w:ascii="Tahoma" w:hAnsi="Tahoma" w:cs="Tahoma"/>
        </w:rPr>
        <w:t xml:space="preserve"> umumnya </w:t>
      </w:r>
      <w:r>
        <w:rPr>
          <w:rFonts w:ascii="Tahoma" w:hAnsi="Tahoma" w:cs="Tahoma"/>
        </w:rPr>
        <w:t xml:space="preserve">melalui social distancing, </w:t>
      </w:r>
      <w:r w:rsidRPr="00897C87">
        <w:rPr>
          <w:rFonts w:ascii="Tahoma" w:hAnsi="Tahoma" w:cs="Tahoma"/>
        </w:rPr>
        <w:t xml:space="preserve">  </w:t>
      </w:r>
      <w:r>
        <w:rPr>
          <w:rFonts w:ascii="Tahoma" w:hAnsi="Tahoma" w:cs="Tahoma"/>
        </w:rPr>
        <w:t>disertai upaya intervensi lain seperti</w:t>
      </w:r>
      <w:r w:rsidRPr="00897C87">
        <w:rPr>
          <w:rFonts w:ascii="Tahoma" w:hAnsi="Tahoma" w:cs="Tahoma"/>
        </w:rPr>
        <w:t xml:space="preserve"> </w:t>
      </w:r>
      <w:r>
        <w:rPr>
          <w:rFonts w:ascii="Tahoma" w:hAnsi="Tahoma" w:cs="Tahoma"/>
        </w:rPr>
        <w:t xml:space="preserve">penutupan sekolah atau </w:t>
      </w:r>
      <w:r w:rsidRPr="00897C87">
        <w:rPr>
          <w:rFonts w:ascii="Tahoma" w:hAnsi="Tahoma" w:cs="Tahoma"/>
        </w:rPr>
        <w:t xml:space="preserve">aktivitas </w:t>
      </w:r>
      <w:r>
        <w:rPr>
          <w:rFonts w:ascii="Tahoma" w:hAnsi="Tahoma" w:cs="Tahoma"/>
        </w:rPr>
        <w:t xml:space="preserve">layanan </w:t>
      </w:r>
      <w:r w:rsidRPr="00897C87">
        <w:rPr>
          <w:rFonts w:ascii="Tahoma" w:hAnsi="Tahoma" w:cs="Tahoma"/>
        </w:rPr>
        <w:t>publik dan penutupan wilayah</w:t>
      </w:r>
      <w:r>
        <w:rPr>
          <w:rFonts w:ascii="Tahoma" w:hAnsi="Tahoma" w:cs="Tahoma"/>
        </w:rPr>
        <w:t xml:space="preserve"> </w:t>
      </w:r>
      <w:r>
        <w:rPr>
          <w:rFonts w:ascii="Tahoma" w:hAnsi="Tahoma" w:cs="Tahoma"/>
        </w:rPr>
        <w:fldChar w:fldCharType="begin" w:fldLock="1"/>
      </w:r>
      <w:r>
        <w:rPr>
          <w:rFonts w:ascii="Tahoma" w:hAnsi="Tahoma" w:cs="Tahoma"/>
        </w:rPr>
        <w:instrText>ADDIN CSL_CITATION {"citationItems":[{"id":"ITEM-1","itemData":{"DOI":"10.1101/2020.03.22.20041079","abstract":"The SARS-CoV-2 pandemic is straining healthcare resources worldwide, prompting social distancing measures to reduce transmission intensity. The amount of social distancing needed to curb the SARS-CoV-2 epidemic in the context of seasonally varying transmission remains unclear. Using a mathematical model, we assessed that one-time interventions will be insufficient to maintain COVID-19 prevalence within the critical care capacity of the United States. Seasonal variation in transmission will facilitate epidemic control during the summer months but could lead to an intense resurgence in the autumn. Intermittent distancing measures can maintain control of the epidemic, but without other interventions, these measures may be necessary into 2022. Increasing critical care capacity could reduce the duration of the SARS-CoV-2 epidemic while ensuring that critically ill patients receive appropriate care.\n\n### Competing Interest Statement\n\nThe authors have declared no competing interest.\n\n### Funding Statement\n\nThe authors received no funding for this work.\n\n### Author Declarations\n\nAll relevant ethical guidelines have been followed; any necessary IRB and/or ethics committee approvals have been obtained and details of the IRB/oversight body are included in the manuscript.\n\nYes\n\nAll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applicable.\n\nYes\n\nThe manuscript includes no data.","author":[{"dropping-particle":"","family":"Kissler","given":"Stephen M","non-dropping-particle":"","parse-names":false,"suffix":""},{"dropping-particle":"","family":"Tedijanto","given":"Christine","non-dropping-particle":"","parse-names":false,"suffix":""},{"dropping-particle":"","family":"Lipsitch","given":"Marc","non-dropping-particle":"","parse-names":false,"suffix":""},{"dropping-particle":"","family":"Grad","given":"Yonatan","non-dropping-particle":"","parse-names":false,"suffix":""}],"container-title":"medRxiv","id":"ITEM-1","issued":{"date-parts":[["2020"]]},"page":"2020.03.22.20041079","title":"Social distancing strategies for curbing the COVID-19 epidemic","type":"article-journal"},"uris":["http://www.mendeley.com/documents/?uuid=dc1762b5-05c6-3cce-ac54-ee1898114c08"]},{"id":"ITEM-2","itemData":{"DOI":"10.1186/s12889-015-2336-7","abstract":"Background: Studies of social distancing during epidemics have found that the strength of the response can have a decisive impact on the outcome. In previous work we developed a model of social distancing driven by individuals' risk attitude, a parameter which determines the extent to which social contacts are reduced in response to a given infection level. We showed by simulation that a strong response, driven by a highly cautious risk attitude, can quickly suppress an epidemic. However, a moderately cautious risk attitude gives weak control and, by prolonging the epidemic without reducing its impact, may yield a worse outcome than doing nothing. In real societies, social distancing may arise spontaneously from individual choices rather than being imposed centrally. There is little data available about this as opportunistic data collection during epidemics is difficult. Our study uses a simulated epidemic in a computer game setting to measure the social distancing response. Methods: Two hundred thirty participants played a computer game simulating an epidemic on a spatial network. The player controls one individual in a population of 2500 (with others controlled by computer) and decides how many others to contact each day. To mimic real-world trade-offs, the player is motivated to make contact by being rewarded with points, while simultaneously being deterred by the threat of infection. Participants completed a questionnaire regarding psychological measures of health protection motivation. Finally, simulations were used to compare the experimentally-observed response to epidemics with no response. Results: Participants reduced contacts in response to infection in a manner consistent with our model of social distancing. The experimentally observed response was too weak to halt epidemics quickly, resulting in a somewhat reduced attack rate and a substantially reduced peak attack rate, but longer duration and fewer social contacts, compared to no response. Little correlation was observed between participants' risk attitudes and the psychological measures. Conclusions: Our cognitive model of social distancing matches responses to a simulated epidemic. If these responses indicate real world behaviour, spontaneous social distancing can be expected to reduce peak attack rates. However, additional measures are needed if it is important to stop an epidemic quickly.","author":[{"dropping-particle":"","family":"Kleczkowski","given":"Adam","non-dropping-particle":"","parse-names":false,"suffix":""},{"dropping-particle":"","family":"Maharaj","given":"Savi","non-dropping-particle":"","parse-names":false,"suffix":""},{"dropping-particle":"","family":"Rasmussen","given":"Susan","non-dropping-particle":"","parse-names":false,"suffix":""},{"dropping-particle":"","family":"Williams","given":"Lynn","non-dropping-particle":"","parse-names":false,"suffix":""},{"dropping-particle":"","family":"Cairns","given":"Nicole","non-dropping-particle":"","parse-names":false,"suffix":""}],"container-title":"BMC Public Health","id":"ITEM-2","issue":"1","issued":{"date-parts":[["2015","9","28"]]},"page":"1-13","publisher":"BioMed Central Ltd.","title":"Spontaneous social distancing in response to a simulated epidemic: A virtual experiment","type":"article-journal","volume":"15"},"uris":["http://www.mendeley.com/documents/?uuid=479514d8-d329-3723-95e6-37c17cd1ff69"]}],"mendeley":{"formattedCitation":"(Kissler et al., 2020; Kleczkowski et al., 2015)","plainTextFormattedCitation":"(Kissler et al., 2020; Kleczkowski et al., 2015)","previouslyFormattedCitation":"(Kissler et al., 2020; Kleczkowski et al., 2015)"},"properties":{"noteIndex":0},"schema":"https://github.com/citation-style-language/schema/raw/master/csl-citation.json"}</w:instrText>
      </w:r>
      <w:r>
        <w:rPr>
          <w:rFonts w:ascii="Tahoma" w:hAnsi="Tahoma" w:cs="Tahoma"/>
        </w:rPr>
        <w:fldChar w:fldCharType="separate"/>
      </w:r>
      <w:r w:rsidRPr="00071205">
        <w:rPr>
          <w:rFonts w:ascii="Tahoma" w:hAnsi="Tahoma" w:cs="Tahoma"/>
          <w:noProof/>
        </w:rPr>
        <w:t>(Kissler et al., 2020; Kleczkowski et al., 2015)</w:t>
      </w:r>
      <w:r>
        <w:rPr>
          <w:rFonts w:ascii="Tahoma" w:hAnsi="Tahoma" w:cs="Tahoma"/>
        </w:rPr>
        <w:fldChar w:fldCharType="end"/>
      </w:r>
      <w:r w:rsidRPr="00897C87">
        <w:rPr>
          <w:rFonts w:ascii="Tahoma" w:hAnsi="Tahoma" w:cs="Tahoma"/>
        </w:rPr>
        <w:t xml:space="preserve">.  </w:t>
      </w:r>
      <w:r>
        <w:rPr>
          <w:rFonts w:ascii="Tahoma" w:hAnsi="Tahoma" w:cs="Tahoma"/>
        </w:rPr>
        <w:t xml:space="preserve"> S</w:t>
      </w:r>
      <w:r w:rsidRPr="00577755">
        <w:rPr>
          <w:rFonts w:ascii="Tahoma" w:hAnsi="Tahoma" w:cs="Tahoma"/>
        </w:rPr>
        <w:t xml:space="preserve">ocial distancing </w:t>
      </w:r>
      <w:r w:rsidRPr="009823A3">
        <w:rPr>
          <w:rFonts w:ascii="Tahoma" w:hAnsi="Tahoma" w:cs="Tahoma"/>
        </w:rPr>
        <w:t>adalah aspek perilaku manusia yang sifatnya univer</w:t>
      </w:r>
      <w:r>
        <w:rPr>
          <w:rFonts w:ascii="Tahoma" w:hAnsi="Tahoma" w:cs="Tahoma"/>
        </w:rPr>
        <w:t>sal.  S</w:t>
      </w:r>
      <w:r w:rsidRPr="009823A3">
        <w:rPr>
          <w:rFonts w:ascii="Tahoma" w:hAnsi="Tahoma" w:cs="Tahoma"/>
        </w:rPr>
        <w:t xml:space="preserve">etiap orang dapat mengurangi tingkat kontak dengan orang lain dengan mengubah perilaku mereka, </w:t>
      </w:r>
      <w:r>
        <w:rPr>
          <w:rFonts w:ascii="Tahoma" w:hAnsi="Tahoma" w:cs="Tahoma"/>
        </w:rPr>
        <w:t>untuk</w:t>
      </w:r>
      <w:r w:rsidRPr="009823A3">
        <w:rPr>
          <w:rFonts w:ascii="Tahoma" w:hAnsi="Tahoma" w:cs="Tahoma"/>
        </w:rPr>
        <w:t xml:space="preserve"> mengurangi penularan banyak penyakit. </w:t>
      </w:r>
      <w:r>
        <w:rPr>
          <w:rFonts w:ascii="Tahoma" w:hAnsi="Tahoma" w:cs="Tahoma"/>
        </w:rPr>
        <w:t xml:space="preserve">Menurut </w:t>
      </w:r>
      <w:r>
        <w:rPr>
          <w:rFonts w:ascii="Tahoma" w:hAnsi="Tahoma" w:cs="Tahoma"/>
        </w:rPr>
        <w:fldChar w:fldCharType="begin" w:fldLock="1"/>
      </w:r>
      <w:r>
        <w:rPr>
          <w:rFonts w:ascii="Tahoma" w:hAnsi="Tahoma" w:cs="Tahoma"/>
        </w:rPr>
        <w:instrText>ADDIN CSL_CITATION {"citationItems":[{"id":"ITEM-1","itemData":{"DOI":"10.1371/journal.pcbi.1000793","ISSN":"1553734X","PMID":"20523740","abstract":"Social distancing practices are changes in behavior that prevent disease transmission by reducing contact rates between susceptible individuals and infected individuals who may transmit the disease. Social distancing practices can reduce the severity of an epidemic, but the benefits of social distancing depend on the extent to which it is used by individuals. Individuals are sometimes reluctant to pay the costs inherent in social distancing, and this can limit its effectiveness as a control measure. This paper formulates a differential-game to identify how individuals would best use social distancing and related self-protective behaviors during an epidemic. The epidemic is described by a simple, well-mixed ordinary differential equation model. We use the differential game to study potential value of social distancing as a mitigation measure by calculating the equilibrium behaviors under a variety of cost-functions. Numerical methods are used to calculate the total costs of an epidemic under equilibrium behaviors as a function of the time to mass vaccination, following epidemic identification. The key parameters in the analysis are the basic reproduction number and the baseline efficiency of social distancing. The results show that social distancing is most beneficial to individuals for basic reproduction numbers around 2. In the absence of vaccination or other intervention measures, optimal social distancing never recovers more than 30% of the cost of infection. We also show how the window of opportunity for vaccine development lengthens as the efficiency of social distancing and detection improve. © 2010 Timothy C. Reluga.","author":[{"dropping-particle":"","family":"Reluga","given":"Timothy C.","non-dropping-particle":"","parse-names":false,"suffix":""}],"container-title":"PLoS Computational Biology","id":"ITEM-1","issue":"5","issued":{"date-parts":[["2010","5"]]},"page":"1-9","title":"Game theory of social distancing in response to an epidemic","type":"article-journal","volume":"6"},"uris":["http://www.mendeley.com/documents/?uuid=484c54a6-43ed-36b9-ba46-2e68f6048552"]}],"mendeley":{"formattedCitation":"(Reluga, 2010)","plainTextFormattedCitation":"(Reluga, 2010)","previouslyFormattedCitation":"(Reluga, 2010)"},"properties":{"noteIndex":0},"schema":"https://github.com/citation-style-language/schema/raw/master/csl-citation.json"}</w:instrText>
      </w:r>
      <w:r>
        <w:rPr>
          <w:rFonts w:ascii="Tahoma" w:hAnsi="Tahoma" w:cs="Tahoma"/>
        </w:rPr>
        <w:fldChar w:fldCharType="separate"/>
      </w:r>
      <w:r w:rsidRPr="00577755">
        <w:rPr>
          <w:rFonts w:ascii="Tahoma" w:hAnsi="Tahoma" w:cs="Tahoma"/>
          <w:noProof/>
        </w:rPr>
        <w:t>(Reluga, 2010)</w:t>
      </w:r>
      <w:r>
        <w:rPr>
          <w:rFonts w:ascii="Tahoma" w:hAnsi="Tahoma" w:cs="Tahoma"/>
        </w:rPr>
        <w:fldChar w:fldCharType="end"/>
      </w:r>
      <w:r>
        <w:rPr>
          <w:rFonts w:ascii="Tahoma" w:hAnsi="Tahoma" w:cs="Tahoma"/>
        </w:rPr>
        <w:t>, soc</w:t>
      </w:r>
      <w:r w:rsidRPr="00A40FC6">
        <w:rPr>
          <w:rFonts w:ascii="Tahoma" w:hAnsi="Tahoma" w:cs="Tahoma"/>
        </w:rPr>
        <w:t>ial distancing</w:t>
      </w:r>
      <w:r>
        <w:rPr>
          <w:rFonts w:ascii="Tahoma" w:hAnsi="Tahoma" w:cs="Tahoma"/>
        </w:rPr>
        <w:t xml:space="preserve"> </w:t>
      </w:r>
      <w:r w:rsidRPr="009823A3">
        <w:rPr>
          <w:rFonts w:ascii="Tahoma" w:hAnsi="Tahoma" w:cs="Tahoma"/>
        </w:rPr>
        <w:t xml:space="preserve">sangat berguna </w:t>
      </w:r>
      <w:r>
        <w:rPr>
          <w:rFonts w:ascii="Tahoma" w:hAnsi="Tahoma" w:cs="Tahoma"/>
        </w:rPr>
        <w:t>dan</w:t>
      </w:r>
      <w:r w:rsidRPr="009823A3">
        <w:rPr>
          <w:rFonts w:ascii="Tahoma" w:hAnsi="Tahoma" w:cs="Tahoma"/>
        </w:rPr>
        <w:t xml:space="preserve"> </w:t>
      </w:r>
      <w:r>
        <w:rPr>
          <w:rFonts w:ascii="Tahoma" w:hAnsi="Tahoma" w:cs="Tahoma"/>
        </w:rPr>
        <w:t xml:space="preserve">beroperasi </w:t>
      </w:r>
      <w:r w:rsidRPr="009823A3">
        <w:rPr>
          <w:rFonts w:ascii="Tahoma" w:hAnsi="Tahoma" w:cs="Tahoma"/>
        </w:rPr>
        <w:t>murah</w:t>
      </w:r>
      <w:r>
        <w:rPr>
          <w:rFonts w:ascii="Tahoma" w:hAnsi="Tahoma" w:cs="Tahoma"/>
        </w:rPr>
        <w:t>,</w:t>
      </w:r>
      <w:r w:rsidRPr="009823A3">
        <w:rPr>
          <w:rFonts w:ascii="Tahoma" w:hAnsi="Tahoma" w:cs="Tahoma"/>
        </w:rPr>
        <w:t xml:space="preserve"> dan dapat menunda epidemi </w:t>
      </w:r>
      <w:r w:rsidRPr="00A40FC6">
        <w:rPr>
          <w:rFonts w:ascii="Tahoma" w:hAnsi="Tahoma" w:cs="Tahoma"/>
        </w:rPr>
        <w:t xml:space="preserve">untuk penyakit menular sedang </w:t>
      </w:r>
      <w:r w:rsidRPr="009823A3">
        <w:rPr>
          <w:rFonts w:ascii="Tahoma" w:hAnsi="Tahoma" w:cs="Tahoma"/>
        </w:rPr>
        <w:t xml:space="preserve">sampai </w:t>
      </w:r>
      <w:r>
        <w:rPr>
          <w:rFonts w:ascii="Tahoma" w:hAnsi="Tahoma" w:cs="Tahoma"/>
        </w:rPr>
        <w:t xml:space="preserve">ditemukannya </w:t>
      </w:r>
      <w:r w:rsidRPr="009823A3">
        <w:rPr>
          <w:rFonts w:ascii="Tahoma" w:hAnsi="Tahoma" w:cs="Tahoma"/>
        </w:rPr>
        <w:t xml:space="preserve">vaksin </w:t>
      </w:r>
      <w:r>
        <w:rPr>
          <w:rFonts w:ascii="Tahoma" w:hAnsi="Tahoma" w:cs="Tahoma"/>
        </w:rPr>
        <w:t>untuk mematikan virus</w:t>
      </w:r>
      <w:r w:rsidRPr="009823A3">
        <w:rPr>
          <w:rFonts w:ascii="Tahoma" w:hAnsi="Tahoma" w:cs="Tahoma"/>
        </w:rPr>
        <w:t xml:space="preserve">. Namun, manfaat dari </w:t>
      </w:r>
      <w:r w:rsidRPr="00A40FC6">
        <w:rPr>
          <w:rFonts w:ascii="Tahoma" w:hAnsi="Tahoma" w:cs="Tahoma"/>
        </w:rPr>
        <w:t xml:space="preserve">social distancing </w:t>
      </w:r>
      <w:r>
        <w:rPr>
          <w:rFonts w:ascii="Tahoma" w:hAnsi="Tahoma" w:cs="Tahoma"/>
        </w:rPr>
        <w:t xml:space="preserve">relatif </w:t>
      </w:r>
      <w:r w:rsidRPr="009823A3">
        <w:rPr>
          <w:rFonts w:ascii="Tahoma" w:hAnsi="Tahoma" w:cs="Tahoma"/>
        </w:rPr>
        <w:t>kecil untuk penyakit yang sangat menular ketika tidak ada vaksin.</w:t>
      </w:r>
      <w:r>
        <w:rPr>
          <w:rFonts w:ascii="Tahoma" w:hAnsi="Tahoma" w:cs="Tahoma"/>
        </w:rPr>
        <w:t xml:space="preserve">  </w:t>
      </w:r>
      <w:r>
        <w:rPr>
          <w:rFonts w:ascii="Tahoma" w:hAnsi="Tahoma" w:cs="Tahoma"/>
        </w:rPr>
        <w:fldChar w:fldCharType="begin" w:fldLock="1"/>
      </w:r>
      <w:r>
        <w:rPr>
          <w:rFonts w:ascii="Tahoma" w:hAnsi="Tahoma" w:cs="Tahoma"/>
        </w:rPr>
        <w:instrText>ADDIN CSL_CITATION {"citationItems":[{"id":"ITEM-1","itemData":{"DOI":"10.1186/s12889-015-2336-7","abstract":"Background: Studies of social distancing during epidemics have found that the strength of the response can have a decisive impact on the outcome. In previous work we developed a model of social distancing driven by individuals' risk attitude, a parameter which determines the extent to which social contacts are reduced in response to a given infection level. We showed by simulation that a strong response, driven by a highly cautious risk attitude, can quickly suppress an epidemic. However, a moderately cautious risk attitude gives weak control and, by prolonging the epidemic without reducing its impact, may yield a worse outcome than doing nothing. In real societies, social distancing may arise spontaneously from individual choices rather than being imposed centrally. There is little data available about this as opportunistic data collection during epidemics is difficult. Our study uses a simulated epidemic in a computer game setting to measure the social distancing response. Methods: Two hundred thirty participants played a computer game simulating an epidemic on a spatial network. The player controls one individual in a population of 2500 (with others controlled by computer) and decides how many others to contact each day. To mimic real-world trade-offs, the player is motivated to make contact by being rewarded with points, while simultaneously being deterred by the threat of infection. Participants completed a questionnaire regarding psychological measures of health protection motivation. Finally, simulations were used to compare the experimentally-observed response to epidemics with no response. Results: Participants reduced contacts in response to infection in a manner consistent with our model of social distancing. The experimentally observed response was too weak to halt epidemics quickly, resulting in a somewhat reduced attack rate and a substantially reduced peak attack rate, but longer duration and fewer social contacts, compared to no response. Little correlation was observed between participants' risk attitudes and the psychological measures. Conclusions: Our cognitive model of social distancing matches responses to a simulated epidemic. If these responses indicate real world behaviour, spontaneous social distancing can be expected to reduce peak attack rates. However, additional measures are needed if it is important to stop an epidemic quickly.","author":[{"dropping-particle":"","family":"Kleczkowski","given":"Adam","non-dropping-particle":"","parse-names":false,"suffix":""},{"dropping-particle":"","family":"Maharaj","given":"Savi","non-dropping-particle":"","parse-names":false,"suffix":""},{"dropping-particle":"","family":"Rasmussen","given":"Susan","non-dropping-particle":"","parse-names":false,"suffix":""},{"dropping-particle":"","family":"Williams","given":"Lynn","non-dropping-particle":"","parse-names":false,"suffix":""},{"dropping-particle":"","family":"Cairns","given":"Nicole","non-dropping-particle":"","parse-names":false,"suffix":""}],"container-title":"BMC Public Health","id":"ITEM-1","issue":"1","issued":{"date-parts":[["2015","9","28"]]},"page":"1-13","publisher":"BioMed Central Ltd.","title":"Spontaneous social distancing in response to a simulated epidemic: A virtual experiment","type":"article-journal","volume":"15"},"uris":["http://www.mendeley.com/documents/?uuid=479514d8-d329-3723-95e6-37c17cd1ff69"]}],"mendeley":{"formattedCitation":"(Kleczkowski et al., 2015)","plainTextFormattedCitation":"(Kleczkowski et al., 2015)","previouslyFormattedCitation":"(Kleczkowski et al., 2015)"},"properties":{"noteIndex":0},"schema":"https://github.com/citation-style-language/schema/raw/master/csl-citation.json"}</w:instrText>
      </w:r>
      <w:r>
        <w:rPr>
          <w:rFonts w:ascii="Tahoma" w:hAnsi="Tahoma" w:cs="Tahoma"/>
        </w:rPr>
        <w:fldChar w:fldCharType="separate"/>
      </w:r>
      <w:r w:rsidRPr="00B42307">
        <w:rPr>
          <w:rFonts w:ascii="Tahoma" w:hAnsi="Tahoma" w:cs="Tahoma"/>
          <w:noProof/>
        </w:rPr>
        <w:t>(Kleczkowski et al., 2015)</w:t>
      </w:r>
      <w:r>
        <w:rPr>
          <w:rFonts w:ascii="Tahoma" w:hAnsi="Tahoma" w:cs="Tahoma"/>
        </w:rPr>
        <w:fldChar w:fldCharType="end"/>
      </w:r>
      <w:r>
        <w:rPr>
          <w:rFonts w:ascii="Tahoma" w:hAnsi="Tahoma" w:cs="Tahoma"/>
        </w:rPr>
        <w:t xml:space="preserve"> menyatakan social distancing juga penting ketika sistem dan fasilitas kesehatan belum memadai, atau untuk mencegah beban tenaga kesehatan.</w:t>
      </w:r>
    </w:p>
    <w:p w:rsidR="0081323C" w:rsidRDefault="0081323C" w:rsidP="0081323C">
      <w:pPr>
        <w:spacing w:after="0" w:line="360" w:lineRule="auto"/>
        <w:ind w:firstLine="426"/>
        <w:jc w:val="both"/>
        <w:rPr>
          <w:rFonts w:ascii="Tahoma" w:hAnsi="Tahoma" w:cs="Tahoma"/>
        </w:rPr>
      </w:pPr>
      <w:r>
        <w:rPr>
          <w:rFonts w:ascii="Tahoma" w:hAnsi="Tahoma" w:cs="Tahoma"/>
        </w:rPr>
        <w:lastRenderedPageBreak/>
        <w:fldChar w:fldCharType="begin" w:fldLock="1"/>
      </w:r>
      <w:r>
        <w:rPr>
          <w:rFonts w:ascii="Tahoma" w:hAnsi="Tahoma" w:cs="Tahoma"/>
        </w:rPr>
        <w:instrText>ADDIN CSL_CITATION {"citationItems":[{"id":"ITEM-1","itemData":{"DOI":"10.1126/science.1244492","ISSN":"10959203","abstract":"The coupling of social and biological contagion in human populations can have positive or negative outcomes.","author":[{"dropping-particle":"","family":"Bauch","given":"Chris T.","non-dropping-particle":"","parse-names":false,"suffix":""},{"dropping-particle":"","family":"Galvani","given":"Alison P.","non-dropping-particle":"","parse-names":false,"suffix":""}],"container-title":"Science","id":"ITEM-1","issue":"6154","issued":{"date-parts":[["2013"]]},"page":"47-49","publisher":"American Association for the Advancement of Science","title":"Social factors in epidemiology","type":"article","volume":"342"},"uris":["http://www.mendeley.com/documents/?uuid=a43cb75c-68f9-36ce-8898-6808cc900330"]}],"mendeley":{"formattedCitation":"(Bauch &amp; Galvani, 2013)","plainTextFormattedCitation":"(Bauch &amp; Galvani, 2013)","previouslyFormattedCitation":"(Bauch &amp; Galvani, 2013)"},"properties":{"noteIndex":0},"schema":"https://github.com/citation-style-language/schema/raw/master/csl-citation.json"}</w:instrText>
      </w:r>
      <w:r>
        <w:rPr>
          <w:rFonts w:ascii="Tahoma" w:hAnsi="Tahoma" w:cs="Tahoma"/>
        </w:rPr>
        <w:fldChar w:fldCharType="separate"/>
      </w:r>
      <w:r w:rsidRPr="00D137DB">
        <w:rPr>
          <w:rFonts w:ascii="Tahoma" w:hAnsi="Tahoma" w:cs="Tahoma"/>
          <w:noProof/>
        </w:rPr>
        <w:t>(Bauch &amp; Galvani, 2013)</w:t>
      </w:r>
      <w:r>
        <w:rPr>
          <w:rFonts w:ascii="Tahoma" w:hAnsi="Tahoma" w:cs="Tahoma"/>
        </w:rPr>
        <w:fldChar w:fldCharType="end"/>
      </w:r>
      <w:r>
        <w:rPr>
          <w:rFonts w:ascii="Tahoma" w:hAnsi="Tahoma" w:cs="Tahoma"/>
        </w:rPr>
        <w:t xml:space="preserve"> telah mengidentifikasi </w:t>
      </w:r>
      <w:r w:rsidRPr="00D137DB">
        <w:rPr>
          <w:rFonts w:ascii="Tahoma" w:hAnsi="Tahoma" w:cs="Tahoma"/>
        </w:rPr>
        <w:t xml:space="preserve">SARS-coronavirus </w:t>
      </w:r>
      <w:r>
        <w:rPr>
          <w:rFonts w:ascii="Tahoma" w:hAnsi="Tahoma" w:cs="Tahoma"/>
        </w:rPr>
        <w:t>sebagai virus yang berbahaya, dan belum ditemukan obat atau vaksinnya.  Oleh karena itu</w:t>
      </w:r>
      <w:r w:rsidRPr="00794B07">
        <w:rPr>
          <w:rFonts w:ascii="Tahoma" w:hAnsi="Tahoma" w:cs="Tahoma"/>
        </w:rPr>
        <w:t xml:space="preserve">, </w:t>
      </w:r>
      <w:r>
        <w:rPr>
          <w:rFonts w:ascii="Tahoma" w:hAnsi="Tahoma" w:cs="Tahoma"/>
        </w:rPr>
        <w:t xml:space="preserve">penanganan </w:t>
      </w:r>
      <w:r w:rsidRPr="00794B07">
        <w:rPr>
          <w:rFonts w:ascii="Tahoma" w:hAnsi="Tahoma" w:cs="Tahoma"/>
        </w:rPr>
        <w:t xml:space="preserve">kesehatan masyarakat harus bergantung pada karantina, pembatasan pergerakan, dan tindakan lain yang memerlukan perilaku kooperatif. </w:t>
      </w:r>
      <w:r>
        <w:rPr>
          <w:rFonts w:ascii="Tahoma" w:hAnsi="Tahoma" w:cs="Tahoma"/>
        </w:rPr>
        <w:t xml:space="preserve"> K</w:t>
      </w:r>
      <w:r w:rsidRPr="00794B07">
        <w:rPr>
          <w:rFonts w:ascii="Tahoma" w:hAnsi="Tahoma" w:cs="Tahoma"/>
        </w:rPr>
        <w:t xml:space="preserve">ekurangan pengetahuan epidemiologis </w:t>
      </w:r>
      <w:r>
        <w:rPr>
          <w:rFonts w:ascii="Tahoma" w:hAnsi="Tahoma" w:cs="Tahoma"/>
        </w:rPr>
        <w:t xml:space="preserve">seperti COVID-19 saat sekarang ini, dapat menimbulkan </w:t>
      </w:r>
      <w:r w:rsidRPr="00794B07">
        <w:rPr>
          <w:rFonts w:ascii="Tahoma" w:hAnsi="Tahoma" w:cs="Tahoma"/>
        </w:rPr>
        <w:t>rasa takut</w:t>
      </w:r>
      <w:r>
        <w:rPr>
          <w:rFonts w:ascii="Tahoma" w:hAnsi="Tahoma" w:cs="Tahoma"/>
        </w:rPr>
        <w:t>, dan berpotensi</w:t>
      </w:r>
      <w:r w:rsidRPr="00794B07">
        <w:rPr>
          <w:rFonts w:ascii="Tahoma" w:hAnsi="Tahoma" w:cs="Tahoma"/>
        </w:rPr>
        <w:t xml:space="preserve"> </w:t>
      </w:r>
      <w:r>
        <w:rPr>
          <w:rFonts w:ascii="Tahoma" w:hAnsi="Tahoma" w:cs="Tahoma"/>
        </w:rPr>
        <w:t>menerima informasi yang tidak benar</w:t>
      </w:r>
      <w:r w:rsidRPr="00794B07">
        <w:rPr>
          <w:rFonts w:ascii="Tahoma" w:hAnsi="Tahoma" w:cs="Tahoma"/>
        </w:rPr>
        <w:t xml:space="preserve">. </w:t>
      </w:r>
      <w:r>
        <w:rPr>
          <w:rFonts w:ascii="Tahoma" w:hAnsi="Tahoma" w:cs="Tahoma"/>
        </w:rPr>
        <w:t>P</w:t>
      </w:r>
      <w:r w:rsidRPr="00794B07">
        <w:rPr>
          <w:rFonts w:ascii="Tahoma" w:hAnsi="Tahoma" w:cs="Tahoma"/>
        </w:rPr>
        <w:t>eningkatan pemahaman tentang interaksi antara penularan sosial dan penularan biologis akan membantu meningkatkan upaya pengendalian penyakit.</w:t>
      </w:r>
      <w:r>
        <w:rPr>
          <w:rFonts w:ascii="Tahoma" w:hAnsi="Tahoma" w:cs="Tahoma"/>
        </w:rPr>
        <w:t xml:space="preserve">  </w:t>
      </w:r>
    </w:p>
    <w:p w:rsidR="0081323C" w:rsidRDefault="0081323C" w:rsidP="0081323C">
      <w:pPr>
        <w:spacing w:after="0" w:line="240" w:lineRule="auto"/>
        <w:jc w:val="both"/>
        <w:rPr>
          <w:rFonts w:ascii="Tahoma" w:hAnsi="Tahoma" w:cs="Tahoma"/>
          <w:sz w:val="18"/>
          <w:szCs w:val="18"/>
        </w:rPr>
      </w:pPr>
    </w:p>
    <w:p w:rsidR="0081323C" w:rsidRDefault="0081323C" w:rsidP="0081323C">
      <w:pPr>
        <w:spacing w:after="0" w:line="240" w:lineRule="auto"/>
        <w:jc w:val="both"/>
        <w:rPr>
          <w:rFonts w:ascii="Tahoma" w:hAnsi="Tahoma" w:cs="Tahoma"/>
          <w:sz w:val="18"/>
          <w:szCs w:val="18"/>
        </w:rPr>
      </w:pPr>
      <w:r>
        <w:rPr>
          <w:noProof/>
          <w:lang w:eastAsia="id-ID"/>
        </w:rPr>
        <w:drawing>
          <wp:inline distT="0" distB="0" distL="0" distR="0" wp14:anchorId="0A0F2974" wp14:editId="02B5F992">
            <wp:extent cx="5531188" cy="14264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25637" t="28182" r="25893" b="49545"/>
                    <a:stretch/>
                  </pic:blipFill>
                  <pic:spPr bwMode="auto">
                    <a:xfrm>
                      <a:off x="0" y="0"/>
                      <a:ext cx="5531412" cy="1426522"/>
                    </a:xfrm>
                    <a:prstGeom prst="rect">
                      <a:avLst/>
                    </a:prstGeom>
                    <a:noFill/>
                    <a:ln>
                      <a:noFill/>
                    </a:ln>
                    <a:extLst>
                      <a:ext uri="{53640926-AAD7-44D8-BBD7-CCE9431645EC}">
                        <a14:shadowObscured xmlns:a14="http://schemas.microsoft.com/office/drawing/2010/main"/>
                      </a:ext>
                    </a:extLst>
                  </pic:spPr>
                </pic:pic>
              </a:graphicData>
            </a:graphic>
          </wp:inline>
        </w:drawing>
      </w:r>
    </w:p>
    <w:p w:rsidR="0081323C" w:rsidRDefault="0081323C" w:rsidP="0081323C">
      <w:pPr>
        <w:spacing w:after="0" w:line="240" w:lineRule="auto"/>
        <w:jc w:val="both"/>
        <w:rPr>
          <w:rFonts w:ascii="Tahoma" w:hAnsi="Tahoma" w:cs="Tahoma"/>
          <w:sz w:val="18"/>
          <w:szCs w:val="18"/>
        </w:rPr>
      </w:pPr>
    </w:p>
    <w:p w:rsidR="0081323C" w:rsidRDefault="0081323C" w:rsidP="0081323C">
      <w:pPr>
        <w:spacing w:after="0" w:line="240" w:lineRule="auto"/>
        <w:jc w:val="center"/>
        <w:rPr>
          <w:rFonts w:ascii="Tahoma" w:hAnsi="Tahoma" w:cs="Tahoma"/>
          <w:sz w:val="18"/>
          <w:szCs w:val="18"/>
        </w:rPr>
      </w:pPr>
      <w:r>
        <w:rPr>
          <w:rFonts w:ascii="Tahoma" w:hAnsi="Tahoma" w:cs="Tahoma"/>
          <w:sz w:val="18"/>
          <w:szCs w:val="18"/>
        </w:rPr>
        <w:t xml:space="preserve">Gambar 1. Perkembangan mobilisasi manusia di kota Wuhan, sebelum dan setelah diberlakukan lockdown pada tanggal 23 Januari 2020 </w:t>
      </w:r>
      <w:r>
        <w:rPr>
          <w:rFonts w:ascii="Tahoma" w:hAnsi="Tahoma" w:cs="Tahoma"/>
          <w:sz w:val="18"/>
          <w:szCs w:val="18"/>
        </w:rPr>
        <w:fldChar w:fldCharType="begin" w:fldLock="1"/>
      </w:r>
      <w:r>
        <w:rPr>
          <w:rFonts w:ascii="Tahoma" w:hAnsi="Tahoma" w:cs="Tahoma"/>
          <w:sz w:val="18"/>
          <w:szCs w:val="18"/>
        </w:rPr>
        <w:instrText>ADDIN CSL_CITATION {"citationItems":[{"id":"ITEM-1","itemData":{"DOI":"10.1126/science.abb4218","ISSN":"10959203","PMID":"32213647","abstract":"The ongoing coronavirus disease 2019 (COVID-19) outbreak expanded rapidly throughout China. Major behavioral, clinical, and state interventions were undertaken to mitigate the epidemic and prevent the persistence of the virus in human populations in China and worldwide. It remains unclear how these unprecedented interventions, including travel restrictions, affected COVID-19 spread in China. We used real-time mobility data from Wuhan and detailed case data including travel history to elucidate the role of case importation in transmission in cities across China and to ascertain the impact of control measures. Early on, the spatial distribution of COVID-19 cases in China was explained well by human mobility data. After the implementation of control measures, this correlation dropped and growth rates became negative in most locations, although shifts in the demographics of reported cases were still indicative of local chains of transmission outside of Wuhan. This study shows that the drastic control measures implemented in China substantially mitigated the spread of COVID-19.","author":[{"dropping-particle":"","family":"Kraemer","given":"Moritz U.G.","non-dropping-particle":"","parse-names":false,"suffix":""},{"dropping-particle":"","family":"Yang","given":"Chia Hung","non-dropping-particle":"","parse-names":false,"suffix":""},{"dropping-particle":"","family":"Gutierrez","given":"Bernardo","non-dropping-particle":"","parse-names":false,"suffix":""},{"dropping-particle":"","family":"Wu","given":"Chieh Hsi","non-dropping-particle":"","parse-names":false,"suffix":""},{"dropping-particle":"","family":"Klein","given":"Brennan","non-dropping-particle":"","parse-names":false,"suffix":""},{"dropping-particle":"","family":"Pigott","given":"David M.","non-dropping-particle":"","parse-names":false,"suffix":""},{"dropping-particle":"","family":"Plessis","given":"Louis","non-dropping-particle":"du","parse-names":false,"suffix":""},{"dropping-particle":"","family":"Faria","given":"Nuno R.","non-dropping-particle":"","parse-names":false,"suffix":""},{"dropping-particle":"","family":"Li","given":"Ruoran","non-dropping-particle":"","parse-names":false,"suffix":""},{"dropping-particle":"","family":"Hanage","given":"William P.","non-dropping-particle":"","parse-names":false,"suffix":""},{"dropping-particle":"","family":"Brownstein","given":"John S.","non-dropping-particle":"","parse-names":false,"suffix":""},{"dropping-particle":"","family":"Layan","given":"Maylis","non-dropping-particle":"","parse-names":false,"suffix":""},{"dropping-particle":"","family":"Vespignani","given":"Alessandro","non-dropping-particle":"","parse-names":false,"suffix":""},{"dropping-particle":"","family":"Tian","given":"Huaiyu","non-dropping-particle":"","parse-names":false,"suffix":""},{"dropping-particle":"","family":"Dye","given":"Christopher","non-dropping-particle":"","parse-names":false,"suffix":""},{"dropping-particle":"","family":"Pybus","given":"Oliver G.","non-dropping-particle":"","parse-names":false,"suffix":""},{"dropping-particle":"V.","family":"Scarpino","given":"Samuel","non-dropping-particle":"","parse-names":false,"suffix":""}],"container-title":"Science","id":"ITEM-1","issue":"6490","issued":{"date-parts":[["2020","5","1"]]},"page":"493-497","publisher":"American Association for the Advancement of Science","title":"The effect of human mobility and control measures on the COVID-19 epidemic in China","type":"article-journal","volume":"368"},"uris":["http://www.mendeley.com/documents/?uuid=68afaabc-d2bd-3608-a76d-d0af5c38022c"]}],"mendeley":{"formattedCitation":"(Kraemer et al., 2020)","plainTextFormattedCitation":"(Kraemer et al., 2020)","previouslyFormattedCitation":"(Kraemer et al., 2020)"},"properties":{"noteIndex":0},"schema":"https://github.com/citation-style-language/schema/raw/master/csl-citation.json"}</w:instrText>
      </w:r>
      <w:r>
        <w:rPr>
          <w:rFonts w:ascii="Tahoma" w:hAnsi="Tahoma" w:cs="Tahoma"/>
          <w:sz w:val="18"/>
          <w:szCs w:val="18"/>
        </w:rPr>
        <w:fldChar w:fldCharType="separate"/>
      </w:r>
      <w:r>
        <w:rPr>
          <w:rFonts w:ascii="Tahoma" w:hAnsi="Tahoma" w:cs="Tahoma"/>
          <w:noProof/>
          <w:sz w:val="18"/>
          <w:szCs w:val="18"/>
        </w:rPr>
        <w:t>(Kraemer et al., 2020)</w:t>
      </w:r>
      <w:r>
        <w:rPr>
          <w:rFonts w:ascii="Tahoma" w:hAnsi="Tahoma" w:cs="Tahoma"/>
          <w:sz w:val="18"/>
          <w:szCs w:val="18"/>
        </w:rPr>
        <w:fldChar w:fldCharType="end"/>
      </w:r>
    </w:p>
    <w:p w:rsidR="0081323C" w:rsidRDefault="0081323C" w:rsidP="0081323C">
      <w:pPr>
        <w:spacing w:after="0" w:line="240" w:lineRule="auto"/>
        <w:jc w:val="both"/>
        <w:rPr>
          <w:rFonts w:ascii="Tahoma" w:hAnsi="Tahoma" w:cs="Tahoma"/>
          <w:sz w:val="18"/>
          <w:szCs w:val="18"/>
        </w:rPr>
      </w:pPr>
    </w:p>
    <w:p w:rsidR="0081323C" w:rsidRDefault="0081323C" w:rsidP="0081323C">
      <w:pPr>
        <w:spacing w:after="0" w:line="240" w:lineRule="auto"/>
        <w:jc w:val="both"/>
        <w:rPr>
          <w:rFonts w:ascii="Tahoma" w:hAnsi="Tahoma" w:cs="Tahoma"/>
          <w:sz w:val="18"/>
          <w:szCs w:val="18"/>
        </w:rPr>
      </w:pPr>
    </w:p>
    <w:p w:rsidR="0081323C" w:rsidRPr="00D6337D" w:rsidRDefault="0081323C" w:rsidP="0081323C">
      <w:pPr>
        <w:spacing w:after="0" w:line="360" w:lineRule="auto"/>
        <w:ind w:firstLine="426"/>
        <w:jc w:val="both"/>
        <w:rPr>
          <w:rFonts w:ascii="Tahoma" w:hAnsi="Tahoma" w:cs="Tahoma"/>
        </w:rPr>
      </w:pPr>
      <w:r>
        <w:rPr>
          <w:rFonts w:ascii="Tahoma" w:hAnsi="Tahoma" w:cs="Tahoma"/>
        </w:rPr>
        <w:t xml:space="preserve">Implementasi social distancing di pusat epidemi COVID-19 di Wuhan, Cina, memberikan contoh kasus yang berhasil (Gambar 1).  Menurut </w:t>
      </w:r>
      <w:r>
        <w:rPr>
          <w:rFonts w:ascii="Tahoma" w:hAnsi="Tahoma" w:cs="Tahoma"/>
        </w:rPr>
        <w:fldChar w:fldCharType="begin" w:fldLock="1"/>
      </w:r>
      <w:r>
        <w:rPr>
          <w:rFonts w:ascii="Tahoma" w:hAnsi="Tahoma" w:cs="Tahoma"/>
        </w:rPr>
        <w:instrText>ADDIN CSL_CITATION {"citationItems":[{"id":"ITEM-1","itemData":{"DOI":"10.1126/science.abb4218","ISSN":"10959203","PMID":"32213647","abstract":"The ongoing coronavirus disease 2019 (COVID-19) outbreak expanded rapidly throughout China. Major behavioral, clinical, and state interventions were undertaken to mitigate the epidemic and prevent the persistence of the virus in human populations in China and worldwide. It remains unclear how these unprecedented interventions, including travel restrictions, affected COVID-19 spread in China. We used real-time mobility data from Wuhan and detailed case data including travel history to elucidate the role of case importation in transmission in cities across China and to ascertain the impact of control measures. Early on, the spatial distribution of COVID-19 cases in China was explained well by human mobility data. After the implementation of control measures, this correlation dropped and growth rates became negative in most locations, although shifts in the demographics of reported cases were still indicative of local chains of transmission outside of Wuhan. This study shows that the drastic control measures implemented in China substantially mitigated the spread of COVID-19.","author":[{"dropping-particle":"","family":"Kraemer","given":"Moritz U.G.","non-dropping-particle":"","parse-names":false,"suffix":""},{"dropping-particle":"","family":"Yang","given":"Chia Hung","non-dropping-particle":"","parse-names":false,"suffix":""},{"dropping-particle":"","family":"Gutierrez","given":"Bernardo","non-dropping-particle":"","parse-names":false,"suffix":""},{"dropping-particle":"","family":"Wu","given":"Chieh Hsi","non-dropping-particle":"","parse-names":false,"suffix":""},{"dropping-particle":"","family":"Klein","given":"Brennan","non-dropping-particle":"","parse-names":false,"suffix":""},{"dropping-particle":"","family":"Pigott","given":"David M.","non-dropping-particle":"","parse-names":false,"suffix":""},{"dropping-particle":"","family":"Plessis","given":"Louis","non-dropping-particle":"du","parse-names":false,"suffix":""},{"dropping-particle":"","family":"Faria","given":"Nuno R.","non-dropping-particle":"","parse-names":false,"suffix":""},{"dropping-particle":"","family":"Li","given":"Ruoran","non-dropping-particle":"","parse-names":false,"suffix":""},{"dropping-particle":"","family":"Hanage","given":"William P.","non-dropping-particle":"","parse-names":false,"suffix":""},{"dropping-particle":"","family":"Brownstein","given":"John S.","non-dropping-particle":"","parse-names":false,"suffix":""},{"dropping-particle":"","family":"Layan","given":"Maylis","non-dropping-particle":"","parse-names":false,"suffix":""},{"dropping-particle":"","family":"Vespignani","given":"Alessandro","non-dropping-particle":"","parse-names":false,"suffix":""},{"dropping-particle":"","family":"Tian","given":"Huaiyu","non-dropping-particle":"","parse-names":false,"suffix":""},{"dropping-particle":"","family":"Dye","given":"Christopher","non-dropping-particle":"","parse-names":false,"suffix":""},{"dropping-particle":"","family":"Pybus","given":"Oliver G.","non-dropping-particle":"","parse-names":false,"suffix":""},{"dropping-particle":"V.","family":"Scarpino","given":"Samuel","non-dropping-particle":"","parse-names":false,"suffix":""}],"container-title":"Science","id":"ITEM-1","issue":"6490","issued":{"date-parts":[["2020","5","1"]]},"page":"493-497","publisher":"American Association for the Advancement of Science","title":"The effect of human mobility and control measures on the COVID-19 epidemic in China","type":"article-journal","volume":"368"},"uris":["http://www.mendeley.com/documents/?uuid=68afaabc-d2bd-3608-a76d-d0af5c38022c"]}],"mendeley":{"formattedCitation":"(Kraemer et al., 2020)","plainTextFormattedCitation":"(Kraemer et al., 2020)","previouslyFormattedCitation":"(Kraemer et al., 2020)"},"properties":{"noteIndex":0},"schema":"https://github.com/citation-style-language/schema/raw/master/csl-citation.json"}</w:instrText>
      </w:r>
      <w:r>
        <w:rPr>
          <w:rFonts w:ascii="Tahoma" w:hAnsi="Tahoma" w:cs="Tahoma"/>
        </w:rPr>
        <w:fldChar w:fldCharType="separate"/>
      </w:r>
      <w:r w:rsidRPr="00D6337D">
        <w:rPr>
          <w:rFonts w:ascii="Tahoma" w:hAnsi="Tahoma" w:cs="Tahoma"/>
          <w:noProof/>
        </w:rPr>
        <w:t>(Kraemer et al., 2020)</w:t>
      </w:r>
      <w:r>
        <w:rPr>
          <w:rFonts w:ascii="Tahoma" w:hAnsi="Tahoma" w:cs="Tahoma"/>
        </w:rPr>
        <w:fldChar w:fldCharType="end"/>
      </w:r>
      <w:r>
        <w:rPr>
          <w:rFonts w:ascii="Tahoma" w:hAnsi="Tahoma" w:cs="Tahoma"/>
        </w:rPr>
        <w:t>, social distancing</w:t>
      </w:r>
      <w:r w:rsidRPr="00D6337D">
        <w:rPr>
          <w:rFonts w:ascii="Tahoma" w:hAnsi="Tahoma" w:cs="Tahoma"/>
        </w:rPr>
        <w:t xml:space="preserve"> sangat berguna pada tahap awal wabah </w:t>
      </w:r>
      <w:r>
        <w:rPr>
          <w:rFonts w:ascii="Tahoma" w:hAnsi="Tahoma" w:cs="Tahoma"/>
        </w:rPr>
        <w:t>pada area</w:t>
      </w:r>
      <w:r w:rsidRPr="00D6337D">
        <w:rPr>
          <w:rFonts w:ascii="Tahoma" w:hAnsi="Tahoma" w:cs="Tahoma"/>
        </w:rPr>
        <w:t xml:space="preserve"> </w:t>
      </w:r>
      <w:r>
        <w:rPr>
          <w:rFonts w:ascii="Tahoma" w:hAnsi="Tahoma" w:cs="Tahoma"/>
        </w:rPr>
        <w:t xml:space="preserve">yang sudah diidentifikasi </w:t>
      </w:r>
      <w:r w:rsidRPr="00D6337D">
        <w:rPr>
          <w:rFonts w:ascii="Tahoma" w:hAnsi="Tahoma" w:cs="Tahoma"/>
        </w:rPr>
        <w:t>sebagai sumber utama</w:t>
      </w:r>
      <w:r>
        <w:rPr>
          <w:rFonts w:ascii="Tahoma" w:hAnsi="Tahoma" w:cs="Tahoma"/>
        </w:rPr>
        <w:t xml:space="preserve"> epidemi.</w:t>
      </w:r>
      <w:r w:rsidRPr="004A2F99">
        <w:t xml:space="preserve"> </w:t>
      </w:r>
      <w:r w:rsidRPr="004A2F99">
        <w:rPr>
          <w:rFonts w:ascii="Tahoma" w:hAnsi="Tahoma" w:cs="Tahoma"/>
        </w:rPr>
        <w:t>Hal ini</w:t>
      </w:r>
      <w:r>
        <w:t xml:space="preserve"> </w:t>
      </w:r>
      <w:r w:rsidRPr="004A2F99">
        <w:rPr>
          <w:rFonts w:ascii="Tahoma" w:hAnsi="Tahoma" w:cs="Tahoma"/>
        </w:rPr>
        <w:t>berhasil dalam mengurangi penyebaran dan mengurangi transmisi COVID-19 lokal</w:t>
      </w:r>
      <w:r>
        <w:rPr>
          <w:rFonts w:ascii="Tahoma" w:hAnsi="Tahoma" w:cs="Tahoma"/>
        </w:rPr>
        <w:t>.</w:t>
      </w:r>
      <w:r w:rsidRPr="00D6337D">
        <w:rPr>
          <w:rFonts w:ascii="Tahoma" w:hAnsi="Tahoma" w:cs="Tahoma"/>
        </w:rPr>
        <w:t xml:space="preserve"> Namun, </w:t>
      </w:r>
      <w:r>
        <w:rPr>
          <w:rFonts w:ascii="Tahoma" w:hAnsi="Tahoma" w:cs="Tahoma"/>
        </w:rPr>
        <w:t>social distancing</w:t>
      </w:r>
      <w:r w:rsidRPr="00D6337D">
        <w:rPr>
          <w:rFonts w:ascii="Tahoma" w:hAnsi="Tahoma" w:cs="Tahoma"/>
        </w:rPr>
        <w:t xml:space="preserve"> mungkin kurang efektif setelah wabah meluas. </w:t>
      </w:r>
      <w:r>
        <w:rPr>
          <w:rFonts w:ascii="Tahoma" w:hAnsi="Tahoma" w:cs="Tahoma"/>
        </w:rPr>
        <w:t xml:space="preserve"> Hal ini memerlukan k</w:t>
      </w:r>
      <w:r w:rsidRPr="00D6337D">
        <w:rPr>
          <w:rFonts w:ascii="Tahoma" w:hAnsi="Tahoma" w:cs="Tahoma"/>
        </w:rPr>
        <w:t xml:space="preserve">ombinasi intervensi </w:t>
      </w:r>
      <w:r>
        <w:rPr>
          <w:rFonts w:ascii="Tahoma" w:hAnsi="Tahoma" w:cs="Tahoma"/>
        </w:rPr>
        <w:t xml:space="preserve">yang lebih rumit dan memberikan hasil yang tidak pasti.  Social distancing perlu </w:t>
      </w:r>
      <w:r w:rsidRPr="00D6337D">
        <w:rPr>
          <w:rFonts w:ascii="Tahoma" w:hAnsi="Tahoma" w:cs="Tahoma"/>
        </w:rPr>
        <w:t>menyeimbangkan secara optimal efek positif kesehatan masyarakat dengan dampak negatif pada kebebasan bergerak, ekonomi, dan masyarakat pada umumnya.</w:t>
      </w:r>
    </w:p>
    <w:p w:rsidR="0081323C" w:rsidRDefault="0081323C" w:rsidP="0081323C">
      <w:pPr>
        <w:spacing w:after="0" w:line="360" w:lineRule="auto"/>
        <w:ind w:firstLine="426"/>
        <w:jc w:val="both"/>
        <w:rPr>
          <w:rFonts w:ascii="Tahoma" w:hAnsi="Tahoma" w:cs="Tahoma"/>
        </w:rPr>
      </w:pPr>
      <w:r>
        <w:rPr>
          <w:rFonts w:ascii="Tahoma" w:hAnsi="Tahoma" w:cs="Tahoma"/>
        </w:rPr>
        <w:t xml:space="preserve">Pada saat ini, hampir semua negara sudah menunjukkan pemulihan kehidupan dalam berbagai bidang.  Namun, semua pihak menyadari bahwa pandemi COVID-19 belum sepenuhnya berakhir.  Indonesia, </w:t>
      </w:r>
      <w:r w:rsidRPr="00897C87">
        <w:rPr>
          <w:rFonts w:ascii="Tahoma" w:hAnsi="Tahoma" w:cs="Tahoma"/>
        </w:rPr>
        <w:t xml:space="preserve">juga melakukan pemulihan ekonomi melalui konsep new normal.  Konsep new normal adalah membuka kembali aktivitas layanan publik dan ekonomi bisnis dengan secara ketat menjalankan protokol kesehatan, misalnya menjaga jarak, menggunakan masker, cuci tangan, </w:t>
      </w:r>
      <w:r>
        <w:rPr>
          <w:rFonts w:ascii="Tahoma" w:hAnsi="Tahoma" w:cs="Tahoma"/>
        </w:rPr>
        <w:t xml:space="preserve">tidak menyentuh muka atau mata, mengupdate info yang benar </w:t>
      </w:r>
      <w:r w:rsidRPr="00897C87">
        <w:rPr>
          <w:rFonts w:ascii="Tahoma" w:hAnsi="Tahoma" w:cs="Tahoma"/>
        </w:rPr>
        <w:t>dan memelihara kesehatan; didukung standar prosedur penanganan layanan kesehatan</w:t>
      </w:r>
      <w:r>
        <w:rPr>
          <w:rFonts w:ascii="Tahoma" w:hAnsi="Tahoma" w:cs="Tahoma"/>
        </w:rPr>
        <w:t xml:space="preserve"> (</w:t>
      </w:r>
      <w:hyperlink r:id="rId13" w:history="1">
        <w:r w:rsidRPr="00E304F0">
          <w:rPr>
            <w:rStyle w:val="Hyperlink"/>
            <w:rFonts w:ascii="Tahoma" w:hAnsi="Tahoma" w:cs="Tahoma"/>
          </w:rPr>
          <w:t>covid19.go.id</w:t>
        </w:r>
      </w:hyperlink>
      <w:r>
        <w:rPr>
          <w:rFonts w:ascii="Tahoma" w:hAnsi="Tahoma" w:cs="Tahoma"/>
        </w:rPr>
        <w:t xml:space="preserve">).  </w:t>
      </w:r>
      <w:r w:rsidRPr="00897C87">
        <w:rPr>
          <w:rFonts w:ascii="Tahoma" w:hAnsi="Tahoma" w:cs="Tahoma"/>
        </w:rPr>
        <w:t xml:space="preserve">  </w:t>
      </w:r>
    </w:p>
    <w:p w:rsidR="0081323C" w:rsidRDefault="0081323C" w:rsidP="0081323C">
      <w:pPr>
        <w:spacing w:after="0" w:line="360" w:lineRule="auto"/>
        <w:ind w:firstLine="426"/>
        <w:jc w:val="both"/>
        <w:rPr>
          <w:rFonts w:ascii="Tahoma" w:hAnsi="Tahoma" w:cs="Tahoma"/>
        </w:rPr>
      </w:pPr>
      <w:r>
        <w:rPr>
          <w:rFonts w:ascii="Tahoma" w:hAnsi="Tahoma" w:cs="Tahoma"/>
        </w:rPr>
        <w:lastRenderedPageBreak/>
        <w:t xml:space="preserve">Pandemi COVID-19 memberikan banyak pelajaran berharga. </w:t>
      </w:r>
      <w:r w:rsidRPr="00996C5B">
        <w:rPr>
          <w:rFonts w:ascii="Tahoma" w:hAnsi="Tahoma" w:cs="Tahoma"/>
        </w:rPr>
        <w:t xml:space="preserve"> Pendekatan multidisiplin diperlukan untuk mengatasi berbagai faktor yang mengarah pada penularan virus pernapasan melalui udara</w:t>
      </w:r>
      <w:r>
        <w:rPr>
          <w:rFonts w:ascii="Tahoma" w:hAnsi="Tahoma" w:cs="Tahoma"/>
        </w:rPr>
        <w:t xml:space="preserve"> </w:t>
      </w:r>
      <w:r>
        <w:rPr>
          <w:rFonts w:ascii="Tahoma" w:hAnsi="Tahoma" w:cs="Tahoma"/>
        </w:rPr>
        <w:fldChar w:fldCharType="begin" w:fldLock="1"/>
      </w:r>
      <w:r>
        <w:rPr>
          <w:rFonts w:ascii="Tahoma" w:hAnsi="Tahoma" w:cs="Tahoma"/>
        </w:rPr>
        <w:instrText>ADDIN CSL_CITATION {"citationItems":[{"id":"ITEM-1","itemData":{"DOI":"10.1126/science.abc6197","abstract":"Masks and testing are necessary to combat asymptomatic spread in aerosols and droplets","author":[{"dropping-particle":"","family":"Prather","given":"Kimberly A","non-dropping-particle":"","parse-names":false,"suffix":""},{"dropping-particle":"","family":"Wang","given":"Chia C","non-dropping-particle":"","parse-names":false,"suffix":""},{"dropping-particle":"","family":"Schooley","given":"Robert T","non-dropping-particle":"","parse-names":false,"suffix":""}],"container-title":"Science","id":"ITEM-1","issued":{"date-parts":[["2020","5","27"]]},"page":"eabc6197","title":"Reducing transmission of SARS-CoV-2","type":"article-journal"},"uris":["http://www.mendeley.com/documents/?uuid=b2564f95-8a75-384c-a420-07a2c9a3fffb"]}],"mendeley":{"formattedCitation":"(Prather et al., 2020)","plainTextFormattedCitation":"(Prather et al., 2020)","previouslyFormattedCitation":"(Prather et al., 2020)"},"properties":{"noteIndex":0},"schema":"https://github.com/citation-style-language/schema/raw/master/csl-citation.json"}</w:instrText>
      </w:r>
      <w:r>
        <w:rPr>
          <w:rFonts w:ascii="Tahoma" w:hAnsi="Tahoma" w:cs="Tahoma"/>
        </w:rPr>
        <w:fldChar w:fldCharType="separate"/>
      </w:r>
      <w:r w:rsidRPr="00996C5B">
        <w:rPr>
          <w:rFonts w:ascii="Tahoma" w:hAnsi="Tahoma" w:cs="Tahoma"/>
          <w:noProof/>
        </w:rPr>
        <w:t>(Prather et al., 2020)</w:t>
      </w:r>
      <w:r>
        <w:rPr>
          <w:rFonts w:ascii="Tahoma" w:hAnsi="Tahoma" w:cs="Tahoma"/>
        </w:rPr>
        <w:fldChar w:fldCharType="end"/>
      </w:r>
      <w:r>
        <w:rPr>
          <w:rFonts w:ascii="Tahoma" w:hAnsi="Tahoma" w:cs="Tahoma"/>
        </w:rPr>
        <w:t xml:space="preserve">.  Menurut </w:t>
      </w:r>
      <w:r w:rsidRPr="00897C87">
        <w:rPr>
          <w:rFonts w:ascii="Tahoma" w:hAnsi="Tahoma" w:cs="Tahoma"/>
        </w:rPr>
        <w:fldChar w:fldCharType="begin" w:fldLock="1"/>
      </w:r>
      <w:r w:rsidRPr="00897C87">
        <w:rPr>
          <w:rFonts w:ascii="Tahoma" w:hAnsi="Tahoma" w:cs="Tahoma"/>
        </w:rPr>
        <w:instrText>ADDIN CSL_CITATION {"citationItems":[{"id":"ITEM-1","itemData":{"DOI":"10.1126/sciadv.abd1325","abstract":"Dramatic, short-term improvements in the global environment have accompanied the COVID-19 pandemic. Intrigued by these observations, we commissioned a series of papers for Science Advances dedicated to studies of pandemics from an environmental perspective. The first in this series is a paper by Liu et al. on the decline of nitrogen dioxide over China since the outbreak of COVID-19. Collectively, the series will explore how the Earth system as a whole – not just the human societies developed on it – is affected by pandemics like COVID-19, and how environmental conditions can influence the spread and severity of infection.The responses of governments around the world to the COVID-19 catastrophe is an ongoing, essentially uncontrolled experiment. We should not forget that this experiment is playing out in the context of another uncontrolled experiment of …","author":[{"dropping-particle":"","family":"Hodges","given":"Kip","non-dropping-particle":"","parse-names":false,"suffix":""},{"dropping-particle":"","family":"Jackson","given":"Jeremy","non-dropping-particle":"","parse-names":false,"suffix":""}],"container-title":"Science Advances","id":"ITEM-1","issued":{"date-parts":[["2020","6","12"]]},"page":"eabd1325","title":"Pandemics and the global environment","type":"article-journal"},"uris":["http://www.mendeley.com/documents/?uuid=0eecb5d6-74a9-382d-83b1-5cdfd826aeb6"]}],"mendeley":{"formattedCitation":"(Hodges &amp; Jackson, 2020)","plainTextFormattedCitation":"(Hodges &amp; Jackson, 2020)","previouslyFormattedCitation":"(Hodges &amp; Jackson, 2020)"},"properties":{"noteIndex":0},"schema":"https://github.com/citation-style-language/schema/raw/master/csl-citation.json"}</w:instrText>
      </w:r>
      <w:r w:rsidRPr="00897C87">
        <w:rPr>
          <w:rFonts w:ascii="Tahoma" w:hAnsi="Tahoma" w:cs="Tahoma"/>
        </w:rPr>
        <w:fldChar w:fldCharType="separate"/>
      </w:r>
      <w:r w:rsidRPr="00897C87">
        <w:rPr>
          <w:rFonts w:ascii="Tahoma" w:hAnsi="Tahoma" w:cs="Tahoma"/>
          <w:noProof/>
        </w:rPr>
        <w:t>(Hodges &amp; Jackson, 2020)</w:t>
      </w:r>
      <w:r w:rsidRPr="00897C87">
        <w:rPr>
          <w:rFonts w:ascii="Tahoma" w:hAnsi="Tahoma" w:cs="Tahoma"/>
        </w:rPr>
        <w:fldChar w:fldCharType="end"/>
      </w:r>
      <w:r>
        <w:rPr>
          <w:rFonts w:ascii="Tahoma" w:hAnsi="Tahoma" w:cs="Tahoma"/>
        </w:rPr>
        <w:t>,</w:t>
      </w:r>
      <w:r w:rsidRPr="00897C87">
        <w:rPr>
          <w:rFonts w:ascii="Tahoma" w:hAnsi="Tahoma" w:cs="Tahoma"/>
        </w:rPr>
        <w:t xml:space="preserve"> </w:t>
      </w:r>
      <w:r>
        <w:rPr>
          <w:rFonts w:ascii="Tahoma" w:hAnsi="Tahoma" w:cs="Tahoma"/>
        </w:rPr>
        <w:t>masyarakat</w:t>
      </w:r>
      <w:r w:rsidRPr="00897C87">
        <w:rPr>
          <w:rFonts w:ascii="Tahoma" w:hAnsi="Tahoma" w:cs="Tahoma"/>
        </w:rPr>
        <w:t xml:space="preserve"> memikirkan kembali institusi budaya, yang mampu memberikan ketahanan bagi keberlangsungan kehidupan, serta menumbuhkan kembali ekonomi. Dalam kehidupan yang disebut new normal itu,  setiap orang perlu membangun budaya baru dengan mengimplementasikan pandangan, gaya hidup, dan perilaku ekonomi baru. </w:t>
      </w:r>
      <w:r>
        <w:rPr>
          <w:rFonts w:ascii="Tahoma" w:hAnsi="Tahoma" w:cs="Tahoma"/>
        </w:rPr>
        <w:t>D</w:t>
      </w:r>
      <w:r w:rsidRPr="00996C5B">
        <w:rPr>
          <w:rFonts w:ascii="Tahoma" w:hAnsi="Tahoma" w:cs="Tahoma"/>
        </w:rPr>
        <w:t>unia tidak dapat kembali ke bisnis seperti biasa.</w:t>
      </w:r>
      <w:r>
        <w:rPr>
          <w:rFonts w:ascii="Tahoma" w:hAnsi="Tahoma" w:cs="Tahoma"/>
        </w:rPr>
        <w:t xml:space="preserve">  </w:t>
      </w:r>
      <w:r w:rsidRPr="00996C5B">
        <w:rPr>
          <w:rFonts w:ascii="Tahoma" w:hAnsi="Tahoma" w:cs="Tahoma"/>
        </w:rPr>
        <w:t xml:space="preserve"> Diperlukan masyarakat yang lebih bertanggung jawab, lebih banyak berbagi, lebih peduli, lebih inklusif, dan lebih adil </w:t>
      </w:r>
      <w:r>
        <w:rPr>
          <w:rFonts w:ascii="Tahoma" w:hAnsi="Tahoma" w:cs="Tahoma"/>
        </w:rPr>
        <w:t>agar</w:t>
      </w:r>
      <w:r w:rsidRPr="00996C5B">
        <w:rPr>
          <w:rFonts w:ascii="Tahoma" w:hAnsi="Tahoma" w:cs="Tahoma"/>
        </w:rPr>
        <w:t xml:space="preserve"> </w:t>
      </w:r>
      <w:r>
        <w:rPr>
          <w:rFonts w:ascii="Tahoma" w:hAnsi="Tahoma" w:cs="Tahoma"/>
        </w:rPr>
        <w:t>kehidupan</w:t>
      </w:r>
      <w:r w:rsidRPr="00996C5B">
        <w:rPr>
          <w:rFonts w:ascii="Tahoma" w:hAnsi="Tahoma" w:cs="Tahoma"/>
        </w:rPr>
        <w:t xml:space="preserve"> </w:t>
      </w:r>
      <w:r>
        <w:rPr>
          <w:rFonts w:ascii="Tahoma" w:hAnsi="Tahoma" w:cs="Tahoma"/>
        </w:rPr>
        <w:t xml:space="preserve">tetap bertahan </w:t>
      </w:r>
      <w:r w:rsidRPr="00897C87">
        <w:rPr>
          <w:rFonts w:ascii="Tahoma" w:hAnsi="Tahoma" w:cs="Tahoma"/>
        </w:rPr>
        <w:fldChar w:fldCharType="begin" w:fldLock="1"/>
      </w:r>
      <w:r>
        <w:rPr>
          <w:rFonts w:ascii="Tahoma" w:hAnsi="Tahoma" w:cs="Tahoma"/>
        </w:rPr>
        <w:instrText>ADDIN CSL_CITATION {"citationItems":[{"id":"ITEM-1","itemData":{"DOI":"10.1126/science.abc2255","author":[{"dropping-particle":"","family":"Braun","given":"Joachim","non-dropping-particle":"von","parse-names":false,"suffix":""},{"dropping-particle":"","family":"Zamagni","given":"Stefano","non-dropping-particle":"","parse-names":false,"suffix":""},{"dropping-particle":"","family":"Sorondo","given":"Marcelo Sánchez","non-dropping-particle":"","parse-names":false,"suffix":""}],"container-title":"Science","id":"ITEM-1","issue":"6488","issued":{"date-parts":[["2020","4","17"]]},"page":"214","title":"The moment to see the poor","type":"article-journal","volume":"368"},"uris":["http://www.mendeley.com/documents/?uuid=85b86600-d289-31a6-86cc-4086512a7992"]}],"mendeley":{"formattedCitation":"(von Braun et al., 2020)","plainTextFormattedCitation":"(von Braun et al., 2020)","previouslyFormattedCitation":"(von Braun et al., 2020)"},"properties":{"noteIndex":0},"schema":"https://github.com/citation-style-language/schema/raw/master/csl-citation.json"}</w:instrText>
      </w:r>
      <w:r w:rsidRPr="00897C87">
        <w:rPr>
          <w:rFonts w:ascii="Tahoma" w:hAnsi="Tahoma" w:cs="Tahoma"/>
        </w:rPr>
        <w:fldChar w:fldCharType="separate"/>
      </w:r>
      <w:r w:rsidRPr="00996C5B">
        <w:rPr>
          <w:rFonts w:ascii="Tahoma" w:hAnsi="Tahoma" w:cs="Tahoma"/>
          <w:noProof/>
        </w:rPr>
        <w:t>(von Braun et al., 2020)</w:t>
      </w:r>
      <w:r w:rsidRPr="00897C87">
        <w:rPr>
          <w:rFonts w:ascii="Tahoma" w:hAnsi="Tahoma" w:cs="Tahoma"/>
        </w:rPr>
        <w:fldChar w:fldCharType="end"/>
      </w:r>
      <w:r>
        <w:rPr>
          <w:rFonts w:ascii="Tahoma" w:hAnsi="Tahoma" w:cs="Tahoma"/>
        </w:rPr>
        <w:t xml:space="preserve">.  </w:t>
      </w:r>
      <w:r w:rsidRPr="00897C87">
        <w:rPr>
          <w:rFonts w:ascii="Tahoma" w:hAnsi="Tahoma" w:cs="Tahoma"/>
        </w:rPr>
        <w:t xml:space="preserve"> </w:t>
      </w:r>
    </w:p>
    <w:p w:rsidR="0081323C" w:rsidRDefault="0081323C" w:rsidP="0081323C">
      <w:pPr>
        <w:spacing w:after="0" w:line="360" w:lineRule="auto"/>
        <w:ind w:firstLine="426"/>
        <w:jc w:val="both"/>
        <w:rPr>
          <w:rFonts w:ascii="Tahoma" w:hAnsi="Tahoma" w:cs="Tahoma"/>
        </w:rPr>
      </w:pPr>
      <w:r>
        <w:rPr>
          <w:rFonts w:ascii="Tahoma" w:hAnsi="Tahoma" w:cs="Tahoma"/>
        </w:rPr>
        <w:t xml:space="preserve">Semua pihak telah menunjukkan kerjasama dalam penanganan pandemi COVID-19.  Masyarakat berinisitif menggunakan kemampuannya membantu upaya pemerintah melaksanakan program social distancing atau kegiatan lainnya.  Di Korea, kelompok wanita menjadi relawan untuk menemukan, melaporkan, dan memonitor orang  terduga atau pasien COVID-19, melakukan penyemprotan disinfektan, dan membantu membuat masker.  Di Cina, penduduk melakukan pengawasan dan melarang kedatangan tamu.   </w:t>
      </w:r>
      <w:r w:rsidRPr="00470C33">
        <w:rPr>
          <w:rFonts w:ascii="Tahoma" w:hAnsi="Tahoma" w:cs="Tahoma"/>
        </w:rPr>
        <w:t>Negara seperti</w:t>
      </w:r>
      <w:r>
        <w:rPr>
          <w:rFonts w:ascii="Tahoma" w:hAnsi="Tahoma" w:cs="Tahoma"/>
        </w:rPr>
        <w:t xml:space="preserve"> </w:t>
      </w:r>
      <w:r w:rsidRPr="00470C33">
        <w:rPr>
          <w:rFonts w:ascii="Tahoma" w:hAnsi="Tahoma" w:cs="Tahoma"/>
        </w:rPr>
        <w:t xml:space="preserve">Singapura, Korea Selatan, dan Cina </w:t>
      </w:r>
      <w:r>
        <w:rPr>
          <w:rFonts w:ascii="Tahoma" w:hAnsi="Tahoma" w:cs="Tahoma"/>
        </w:rPr>
        <w:t xml:space="preserve">secara </w:t>
      </w:r>
      <w:r w:rsidRPr="00470C33">
        <w:rPr>
          <w:rFonts w:ascii="Tahoma" w:hAnsi="Tahoma" w:cs="Tahoma"/>
        </w:rPr>
        <w:t xml:space="preserve">agresif telah </w:t>
      </w:r>
      <w:r>
        <w:rPr>
          <w:rFonts w:ascii="Tahoma" w:hAnsi="Tahoma" w:cs="Tahoma"/>
        </w:rPr>
        <w:t>membangun jaringan</w:t>
      </w:r>
      <w:r w:rsidRPr="00470C33">
        <w:rPr>
          <w:rFonts w:ascii="Tahoma" w:hAnsi="Tahoma" w:cs="Tahoma"/>
        </w:rPr>
        <w:t xml:space="preserve"> pemantauan </w:t>
      </w:r>
      <w:r>
        <w:rPr>
          <w:rFonts w:ascii="Tahoma" w:hAnsi="Tahoma" w:cs="Tahoma"/>
        </w:rPr>
        <w:t xml:space="preserve">pencegahan pandemi </w:t>
      </w:r>
      <w:r w:rsidRPr="00470C33">
        <w:rPr>
          <w:rFonts w:ascii="Tahoma" w:hAnsi="Tahoma" w:cs="Tahoma"/>
        </w:rPr>
        <w:t xml:space="preserve">melalui penggunaan teknologi </w:t>
      </w:r>
      <w:r>
        <w:rPr>
          <w:rFonts w:ascii="Tahoma" w:hAnsi="Tahoma" w:cs="Tahoma"/>
        </w:rPr>
        <w:t>b</w:t>
      </w:r>
      <w:r w:rsidRPr="00470C33">
        <w:rPr>
          <w:rFonts w:ascii="Tahoma" w:hAnsi="Tahoma" w:cs="Tahoma"/>
        </w:rPr>
        <w:t>ig data, artiﬁcial intelligence, open-science</w:t>
      </w:r>
      <w:r>
        <w:rPr>
          <w:rFonts w:ascii="Tahoma" w:hAnsi="Tahoma" w:cs="Tahoma"/>
        </w:rPr>
        <w:t xml:space="preserve"> dan</w:t>
      </w:r>
      <w:r w:rsidRPr="00470C33">
        <w:rPr>
          <w:rFonts w:ascii="Tahoma" w:hAnsi="Tahoma" w:cs="Tahoma"/>
        </w:rPr>
        <w:t xml:space="preserve"> citizen-data</w:t>
      </w:r>
      <w:r>
        <w:rPr>
          <w:rFonts w:ascii="Tahoma" w:hAnsi="Tahoma" w:cs="Tahoma"/>
        </w:rPr>
        <w:t xml:space="preserve"> </w:t>
      </w:r>
      <w:r>
        <w:rPr>
          <w:rFonts w:ascii="Tahoma" w:hAnsi="Tahoma" w:cs="Tahoma"/>
        </w:rPr>
        <w:fldChar w:fldCharType="begin" w:fldLock="1"/>
      </w:r>
      <w:r>
        <w:rPr>
          <w:rFonts w:ascii="Tahoma" w:hAnsi="Tahoma" w:cs="Tahoma"/>
        </w:rPr>
        <w:instrText>ADDIN CSL_CITATION {"citationItems":[{"id":"ITEM-1","itemData":{"DOI":"https://doi.org/10.1016/j.pdisas.2020.100090","ISSN":"2590-0617","abstract":"Corona Virus (CODID-19) was first reported in Wuhan in December 2019, then spread in different parts of China, and gradually became a global pandemic in March 2020. While the death toll is still increasing, the epicenter of casualty has shifted from Asia to Europe, and that of the affected people has shifted to USA. This paper analyzes the responses in East Asian countries, in China, Japan and South Korea, and provides some commonalities and lessons. While countries have different governance mechanism, it was found that a few governance decisions in respective countries made a difference, along with strong community solidarity and community behavior. Extensive use of emerging technologies is made along with medical/health care treatment to make the response more effective and reduce the risk of the spread of the disease. Although the pandemic was a global one, its responses were local, depending on the local governance, socio-economic and cultural context.","author":[{"dropping-particle":"","family":"Shaw","given":"Rajib","non-dropping-particle":"","parse-names":false,"suffix":""},{"dropping-particle":"","family":"Kim","given":"Yong-kyun","non-dropping-particle":"","parse-names":false,"suffix":""},{"dropping-particle":"","family":"Hua","given":"Jinling","non-dropping-particle":"","parse-names":false,"suffix":""}],"container-title":"Progress in Disaster Science","id":"ITEM-1","issued":{"date-parts":[["2020"]]},"page":"100090","title":"Governance, technology and citizen behavior in pandemic: Lessons from COVID-19 in East Asia","type":"article-journal","volume":"6"},"uris":["http://www.mendeley.com/documents/?uuid=20f6d2c0-cb7e-39f3-a44a-03a42a780a9b"]}],"mendeley":{"formattedCitation":"(Shaw, Kim, &amp; Hua, 2020)","plainTextFormattedCitation":"(Shaw, Kim, &amp; Hua, 2020)","previouslyFormattedCitation":"(Shaw, Kim, &amp; Hua, 2020)"},"properties":{"noteIndex":0},"schema":"https://github.com/citation-style-language/schema/raw/master/csl-citation.json"}</w:instrText>
      </w:r>
      <w:r>
        <w:rPr>
          <w:rFonts w:ascii="Tahoma" w:hAnsi="Tahoma" w:cs="Tahoma"/>
        </w:rPr>
        <w:fldChar w:fldCharType="separate"/>
      </w:r>
      <w:r w:rsidRPr="001D39D8">
        <w:rPr>
          <w:rFonts w:ascii="Tahoma" w:hAnsi="Tahoma" w:cs="Tahoma"/>
          <w:noProof/>
        </w:rPr>
        <w:t>(Shaw, Kim, &amp; Hua, 2020)</w:t>
      </w:r>
      <w:r>
        <w:rPr>
          <w:rFonts w:ascii="Tahoma" w:hAnsi="Tahoma" w:cs="Tahoma"/>
        </w:rPr>
        <w:fldChar w:fldCharType="end"/>
      </w:r>
      <w:r>
        <w:rPr>
          <w:rFonts w:ascii="Tahoma" w:hAnsi="Tahoma" w:cs="Tahoma"/>
        </w:rPr>
        <w:t xml:space="preserve"> </w:t>
      </w:r>
    </w:p>
    <w:p w:rsidR="0081323C" w:rsidRDefault="0081323C" w:rsidP="0081323C">
      <w:pPr>
        <w:spacing w:after="0" w:line="360" w:lineRule="auto"/>
        <w:ind w:firstLine="426"/>
        <w:jc w:val="both"/>
        <w:rPr>
          <w:rFonts w:ascii="Tahoma" w:hAnsi="Tahoma" w:cs="Tahoma"/>
        </w:rPr>
      </w:pPr>
      <w:r>
        <w:rPr>
          <w:rFonts w:ascii="Tahoma" w:hAnsi="Tahoma" w:cs="Tahoma"/>
        </w:rPr>
        <w:t xml:space="preserve">Di Indonesia, respon pemerintah dan masyarakat terhadap pandemi dianggap terlambat. Pada saat itu juga menyebar informasi liar dan hoax yang dipahami tidak benar tentang pandemi, sehingga menimbulkan kepanikan. Memahami istilah work from home, lockdown, social distancing, isolasi mandiri, menggunakan masker, cuci tangan bukan hal yang mudah.  Namun, hal ini segera dipahami ketika semakin banyak kasus infeksi muncul dan mulai jatuh korban meninggal.  Masyarakat akhir menunjukkan tanggapan seperti bantuan sosial bagi keluarga yang terinfeksi, mengisolasi keluarga yang baru datang, atau pembatasan kedatangan tamu </w:t>
      </w:r>
      <w:r>
        <w:rPr>
          <w:rFonts w:ascii="Tahoma" w:hAnsi="Tahoma" w:cs="Tahoma"/>
        </w:rPr>
        <w:fldChar w:fldCharType="begin" w:fldLock="1"/>
      </w:r>
      <w:r w:rsidR="00DC627D">
        <w:rPr>
          <w:rFonts w:ascii="Tahoma" w:hAnsi="Tahoma" w:cs="Tahoma"/>
        </w:rPr>
        <w:instrText>ADDIN CSL_CITATION {"citationItems":[{"id":"ITEM-1","itemData":{"DOI":"10.1016/j.pdisas.2020.100091","ISSN":"25900617","abstract":"The world is presently under an emergency situation because of the COVID-19 global pandemic, caused by a novel coronavirus. Indonesia is the fourth most populous country in the world and is predicted to be affected significantly over a longer time period. Our paper aims to provide detailed reporting and analyses of the present rapid responses to COVID-19 in Indonesia. We particularly highlight the progress of governments, key organisations and community responses to COVID-19 between January and March 2020. We outline the gaps and limitations in the responses, based on our rapid analysis of media contents, from government speeches and reports, social and mass media platforms. We present our recommendations toward more rapid, effective, and comprehensive responses.","author":[{"dropping-particle":"","family":"Djalante","given":"Riyanti","non-dropping-particle":"","parse-names":false,"suffix":""},{"dropping-particle":"","family":"Lassa","given":"Jonatan","non-dropping-particle":"","parse-names":false,"suffix":""},{"dropping-particle":"","family":"Setiamarga","given":"Davin","non-dropping-particle":"","parse-names":false,"suffix":""},{"dropping-particle":"","family":"Sudjatma","given":"Aruminingsih","non-dropping-particle":"","parse-names":false,"suffix":""},{"dropping-particle":"","family":"Indrawan","given":"Mochamad","non-dropping-particle":"","parse-names":false,"suffix":""},{"dropping-particle":"","family":"Haryanto","given":"Budi","non-dropping-particle":"","parse-names":false,"suffix":""},{"dropping-particle":"","family":"Mahfud","given":"Choirul","non-dropping-particle":"","parse-names":false,"suffix":""},{"dropping-particle":"","family":"Sinapoy","given":"Muhammad Sabaruddin","non-dropping-particle":"","parse-names":false,"suffix":""},{"dropping-particle":"","family":"Djalante","given":"Susanti","non-dropping-particle":"","parse-names":false,"suffix":""},{"dropping-particle":"","family":"Rafliana","given":"Irina","non-dropping-particle":"","parse-names":false,"suffix":""},{"dropping-particle":"","family":"Gunawan","given":"Lalu Adi","non-dropping-particle":"","parse-names":false,"suffix":""},{"dropping-particle":"","family":"Surtiari","given":"Gusti Ayu Ketut","non-dropping-particle":"","parse-names":false,"suffix":""},{"dropping-particle":"","family":"Warsilah","given":"Henny","non-dropping-particle":"","parse-names":false,"suffix":""}],"container-title":"Progress in Disaster Science","id":"ITEM-1","issued":{"date-parts":[["2020","4"]]},"page":"100091","publisher":"Elsevier BV","title":"Review and analysis of current responses to COVID-19 in Indonesia: Period of January to March 2020","type":"article-journal","volume":"6"},"uris":["http://www.mendeley.com/documents/?uuid=059b0649-4d9a-33c9-b1ed-b67b7cbd7a31"]}],"mendeley":{"formattedCitation":"(Djalante et al., 2020)","plainTextFormattedCitation":"(Djalante et al., 2020)","previouslyFormattedCitation":"(Djalante et al., 2020)"},"properties":{"noteIndex":0},"schema":"https://github.com/citation-style-language/schema/raw/master/csl-citation.json"}</w:instrText>
      </w:r>
      <w:r>
        <w:rPr>
          <w:rFonts w:ascii="Tahoma" w:hAnsi="Tahoma" w:cs="Tahoma"/>
        </w:rPr>
        <w:fldChar w:fldCharType="separate"/>
      </w:r>
      <w:r w:rsidRPr="009E6D9A">
        <w:rPr>
          <w:rFonts w:ascii="Tahoma" w:hAnsi="Tahoma" w:cs="Tahoma"/>
          <w:noProof/>
        </w:rPr>
        <w:t>(Djalante et al., 2020)</w:t>
      </w:r>
      <w:r>
        <w:rPr>
          <w:rFonts w:ascii="Tahoma" w:hAnsi="Tahoma" w:cs="Tahoma"/>
        </w:rPr>
        <w:fldChar w:fldCharType="end"/>
      </w:r>
      <w:r>
        <w:rPr>
          <w:rFonts w:ascii="Tahoma" w:hAnsi="Tahoma" w:cs="Tahoma"/>
        </w:rPr>
        <w:t xml:space="preserve">.   </w:t>
      </w:r>
    </w:p>
    <w:p w:rsidR="0081323C" w:rsidRDefault="0081323C" w:rsidP="0081323C">
      <w:pPr>
        <w:spacing w:after="0" w:line="360" w:lineRule="auto"/>
        <w:ind w:firstLine="426"/>
        <w:jc w:val="both"/>
        <w:rPr>
          <w:rFonts w:ascii="Tahoma" w:hAnsi="Tahoma" w:cs="Tahoma"/>
        </w:rPr>
      </w:pPr>
    </w:p>
    <w:p w:rsidR="0081323C" w:rsidRDefault="0081323C" w:rsidP="0081323C">
      <w:pPr>
        <w:spacing w:after="0" w:line="360" w:lineRule="auto"/>
        <w:ind w:firstLine="426"/>
        <w:jc w:val="both"/>
        <w:rPr>
          <w:rFonts w:ascii="Tahoma" w:hAnsi="Tahoma" w:cs="Tahoma"/>
        </w:rPr>
      </w:pPr>
    </w:p>
    <w:p w:rsidR="0081323C" w:rsidRDefault="0081323C" w:rsidP="0081323C">
      <w:pPr>
        <w:spacing w:after="0" w:line="360" w:lineRule="auto"/>
        <w:ind w:firstLine="426"/>
        <w:jc w:val="both"/>
        <w:rPr>
          <w:rFonts w:ascii="Tahoma" w:hAnsi="Tahoma" w:cs="Tahoma"/>
        </w:rPr>
      </w:pPr>
    </w:p>
    <w:p w:rsidR="0081323C" w:rsidRDefault="0081323C" w:rsidP="0081323C">
      <w:pPr>
        <w:spacing w:after="0" w:line="360" w:lineRule="auto"/>
        <w:ind w:firstLine="426"/>
        <w:jc w:val="both"/>
        <w:rPr>
          <w:rFonts w:ascii="Tahoma" w:hAnsi="Tahoma" w:cs="Tahoma"/>
        </w:rPr>
      </w:pPr>
    </w:p>
    <w:p w:rsidR="0081323C" w:rsidRPr="009E6D9A" w:rsidRDefault="0081323C" w:rsidP="0081323C">
      <w:pPr>
        <w:spacing w:after="0" w:line="360" w:lineRule="auto"/>
        <w:ind w:firstLine="426"/>
        <w:jc w:val="both"/>
        <w:rPr>
          <w:rFonts w:ascii="Tahoma" w:hAnsi="Tahoma" w:cs="Tahoma"/>
        </w:rPr>
      </w:pPr>
    </w:p>
    <w:p w:rsidR="0081323C" w:rsidRPr="0081088D" w:rsidRDefault="0081323C" w:rsidP="0081323C">
      <w:pPr>
        <w:autoSpaceDE w:val="0"/>
        <w:autoSpaceDN w:val="0"/>
        <w:adjustRightInd w:val="0"/>
        <w:spacing w:before="120" w:after="0" w:line="360" w:lineRule="auto"/>
        <w:jc w:val="both"/>
        <w:rPr>
          <w:rFonts w:ascii="Tahoma" w:hAnsi="Tahoma" w:cs="Tahoma"/>
          <w:b/>
        </w:rPr>
      </w:pPr>
      <w:r>
        <w:rPr>
          <w:rFonts w:ascii="Tahoma" w:hAnsi="Tahoma" w:cs="Tahoma"/>
          <w:b/>
        </w:rPr>
        <w:t>Kapasitas S</w:t>
      </w:r>
      <w:r w:rsidRPr="0081088D">
        <w:rPr>
          <w:rFonts w:ascii="Tahoma" w:hAnsi="Tahoma" w:cs="Tahoma"/>
          <w:b/>
        </w:rPr>
        <w:t>osial</w:t>
      </w:r>
      <w:r>
        <w:rPr>
          <w:rFonts w:ascii="Tahoma" w:hAnsi="Tahoma" w:cs="Tahoma"/>
          <w:b/>
        </w:rPr>
        <w:t xml:space="preserve"> dan Modal Sosial</w:t>
      </w:r>
    </w:p>
    <w:p w:rsidR="0081323C" w:rsidRPr="0081088D" w:rsidRDefault="0081323C" w:rsidP="0081323C">
      <w:pPr>
        <w:autoSpaceDE w:val="0"/>
        <w:autoSpaceDN w:val="0"/>
        <w:adjustRightInd w:val="0"/>
        <w:spacing w:after="0" w:line="360" w:lineRule="auto"/>
        <w:ind w:firstLine="426"/>
        <w:jc w:val="both"/>
        <w:rPr>
          <w:rFonts w:ascii="Tahoma" w:hAnsi="Tahoma" w:cs="Tahoma"/>
          <w:szCs w:val="18"/>
        </w:rPr>
      </w:pPr>
      <w:r w:rsidRPr="00B02181">
        <w:rPr>
          <w:rFonts w:ascii="Tahoma" w:hAnsi="Tahoma" w:cs="Tahoma"/>
        </w:rPr>
        <w:t xml:space="preserve">Kapasitas sosial adalah konsekuensi dari modal sosial. Kapasitas sosial menggambarkan aliran / konsekuensi dari modal sosial selama periode tertentu. Kapasitas sosial juga dapat </w:t>
      </w:r>
      <w:r w:rsidRPr="00B02181">
        <w:rPr>
          <w:rFonts w:ascii="Tahoma" w:hAnsi="Tahoma" w:cs="Tahoma"/>
        </w:rPr>
        <w:lastRenderedPageBreak/>
        <w:t>didefinisikan sebagai pertumbuhan atau perkembangan setiap tingkat hierarki manusia atau integrasi sosial dalam rentang spasial tertentu</w:t>
      </w:r>
      <w:r w:rsidRPr="00897C87">
        <w:rPr>
          <w:rFonts w:ascii="Tahoma" w:hAnsi="Tahoma" w:cs="Tahoma"/>
        </w:rPr>
        <w:t xml:space="preserve">.   </w:t>
      </w:r>
      <w:r w:rsidRPr="0081088D">
        <w:rPr>
          <w:rFonts w:ascii="Tahoma" w:hAnsi="Tahoma" w:cs="Tahoma"/>
          <w:szCs w:val="18"/>
        </w:rPr>
        <w:t xml:space="preserve">Hence, social capacity consists of the sum of human capacity and the additional aspects to be achieved through cooperation, integration or interaction </w:t>
      </w:r>
      <w:r w:rsidRPr="0081088D">
        <w:rPr>
          <w:rFonts w:ascii="Tahoma" w:hAnsi="Tahoma" w:cs="Tahoma"/>
        </w:rPr>
        <w:t xml:space="preserve"> </w:t>
      </w:r>
      <w:r w:rsidRPr="0081088D">
        <w:rPr>
          <w:rFonts w:ascii="Tahoma" w:hAnsi="Tahoma" w:cs="Tahoma"/>
        </w:rPr>
        <w:fldChar w:fldCharType="begin" w:fldLock="1"/>
      </w:r>
      <w:r w:rsidRPr="0081088D">
        <w:rPr>
          <w:rFonts w:ascii="Tahoma" w:hAnsi="Tahoma" w:cs="Tahoma"/>
        </w:rPr>
        <w:instrText>ADDIN CSL_CITATION {"citationItems":[{"id":"ITEM-1","itemData":{"DOI":"10.1016/j.futures.2013.08.006","ISSN":"00163287","abstract":"This article aims to contribute to the continued development of a coherent theory and practical implementation of sustainable development in the social context. It does so by presenting a systematic discussion on 'social capital', 'social capacity' and 'social carrying capacity' under the umbrella of environmental carrying capacity regarding environmental sustainability. Based on an in-depth literature review, the relationship between social capital and human capital is assessed in detail, the overlap between the social capacity approach and different capability approaches closely discussed and the use as well as the meaning of social carrying capacity in science and in practice for environmental sustainability is more intensively explored. In summary, the results of the analysis provide for all the three assessed terms an innovative variety of possible new contributions to future policy proposals and research priorities for social sustainability regarding population growth, social riots, overwork and technical overload obeying the environmental limits. © 2013 Elsevier Ltd.","author":[{"dropping-particle":"","family":"Mauerhofer","given":"Volker","non-dropping-particle":"","parse-names":false,"suffix":""}],"container-title":"Futures","id":"ITEM-1","issued":{"date-parts":[["2013","9"]]},"page":"63-73","title":"Social capital, social capacity and social carrying capacity: Perspectives for the social basics within environmental sustainability","type":"article-journal","volume":"53"},"uris":["http://www.mendeley.com/documents/?uuid=f8dea0cb-904a-3534-ad00-097f3d089d6a"]}],"mendeley":{"formattedCitation":"(Mauerhofer, 2013)","plainTextFormattedCitation":"(Mauerhofer, 2013)","previouslyFormattedCitation":"(Mauerhofer, 2013)"},"properties":{"noteIndex":0},"schema":"https://github.com/citation-style-language/schema/raw/master/csl-citation.json"}</w:instrText>
      </w:r>
      <w:r w:rsidRPr="0081088D">
        <w:rPr>
          <w:rFonts w:ascii="Tahoma" w:hAnsi="Tahoma" w:cs="Tahoma"/>
        </w:rPr>
        <w:fldChar w:fldCharType="separate"/>
      </w:r>
      <w:r w:rsidRPr="0081088D">
        <w:rPr>
          <w:rFonts w:ascii="Tahoma" w:hAnsi="Tahoma" w:cs="Tahoma"/>
          <w:noProof/>
        </w:rPr>
        <w:t>(Mauerhofer, 2013)</w:t>
      </w:r>
      <w:r w:rsidRPr="0081088D">
        <w:rPr>
          <w:rFonts w:ascii="Tahoma" w:hAnsi="Tahoma" w:cs="Tahoma"/>
        </w:rPr>
        <w:fldChar w:fldCharType="end"/>
      </w:r>
      <w:r w:rsidRPr="0081088D">
        <w:rPr>
          <w:rFonts w:ascii="Tahoma" w:hAnsi="Tahoma" w:cs="Tahoma"/>
          <w:szCs w:val="18"/>
        </w:rPr>
        <w:t xml:space="preserve">.  </w:t>
      </w:r>
    </w:p>
    <w:p w:rsidR="0081323C" w:rsidRPr="0081088D" w:rsidRDefault="0081323C" w:rsidP="0081323C">
      <w:pPr>
        <w:autoSpaceDE w:val="0"/>
        <w:autoSpaceDN w:val="0"/>
        <w:adjustRightInd w:val="0"/>
        <w:spacing w:after="0" w:line="360" w:lineRule="auto"/>
        <w:ind w:firstLine="426"/>
        <w:jc w:val="both"/>
        <w:rPr>
          <w:rFonts w:ascii="Tahoma" w:hAnsi="Tahoma" w:cs="Tahoma"/>
          <w:szCs w:val="18"/>
        </w:rPr>
      </w:pPr>
      <w:r w:rsidRPr="0081088D">
        <w:rPr>
          <w:rFonts w:ascii="Tahoma" w:hAnsi="Tahoma" w:cs="Tahoma"/>
          <w:szCs w:val="18"/>
        </w:rPr>
        <w:t xml:space="preserve">Kapasitas sosial adalah intrumen yang mampu mengorganisasikan kompleksitas, melalui pengaturan, kerjasama dan pemberdayaan pihak-pihak yang terlibat.  Meningkatnya kapasitas lokal ditandai oleh membaiknya situasi antara lain kesadaran dan pengetahuan ekowisata, pemberdayaan dan partisipasi, kepemimpinan lokal, dan organisasi </w:t>
      </w:r>
      <w:r w:rsidRPr="0081088D">
        <w:rPr>
          <w:rFonts w:ascii="Tahoma" w:hAnsi="Tahoma" w:cs="Tahoma"/>
          <w:szCs w:val="18"/>
        </w:rPr>
        <w:fldChar w:fldCharType="begin" w:fldLock="1"/>
      </w:r>
      <w:r w:rsidRPr="0081088D">
        <w:rPr>
          <w:rFonts w:ascii="Tahoma" w:hAnsi="Tahoma" w:cs="Tahoma"/>
          <w:szCs w:val="18"/>
        </w:rPr>
        <w:instrText>ADDIN CSL_CITATION {"citationItems":[{"id":"ITEM-1","itemData":{"ISSN":"20470398","abstract":"This paper emphasizes the importance of community capacity building towards sustaining community based tourism. The literature review reveals that the main constraint of sustainable community based tourism development particularly in the rural areas revolve around community capacity building. Lack of awareness and general knowledge about tourism are seen as the main factor that contributes to the failure of the community based tourism development. Community empowerment serves as a fundamental to enable active participation in tourism development at the community level. In addition, local leadership and organization are important components in community capacity building that play vital roles in the success of community based tourism. Limited community capacity will lead to external domination of local tourism development. As a result, local community gains only minimum benefits from tourism development. Therefore, building community capacity becomes critical in order to ensure the success of community based tourism. The concept of community capacity building is widely used for community development in the field of health, agriculture and education. However, limited literature discusses about the community capacity building in the field of tourism development. Thus, this paper will explore the concept of community capacity building in the context of tourism development; the evolution of community capacity building; and the dynamic process of community capacity building according to tourism development stages. The formulation of community capacity building to cater the development and evolution of community based tourism becomes an interesting aspect to focus due to the dynamic nature of community capacity. The inability of a community to be involved in tourism development and react towards business environment changes will be detrimental to the growth of community based tourism programme. A community based tourism programme - Miso Walai Homestay located at Kinabatangan, Sabah, Malaysia is chosen to illustrate the contextual setting of the discussions and debates for community capacity building in this paper.","author":[{"dropping-particle":"","family":"Rasid","given":"Abdul","non-dropping-particle":"","parse-names":false,"suffix":""},{"dropping-particle":"","family":"Mustafa","given":"Mohamad Zaid","non-dropping-particle":"","parse-names":false,"suffix":""},{"dropping-particle":"","family":"Suradin","given":"Ali","non-dropping-particle":"","parse-names":false,"suffix":""},{"dropping-particle":"","family":"Hassan","given":"Razali","non-dropping-particle":"","parse-names":false,"suffix":""}],"container-title":"Business and Management Review","id":"ITEM-1","issue":"5","issued":{"date-parts":[["2012"]]},"page":"10-19","title":"Community Capacity Building for Sustainable Tourism Development : Experience from Miso Walai Homestay","type":"article-journal","volume":"2"},"uris":["http://www.mendeley.com/documents/?uuid=cc838de1-6b8b-3e31-95cb-3cc206a059e6"]}],"mendeley":{"formattedCitation":"(Rasid, Mustafa, Suradin, &amp; Hassan, 2012)","plainTextFormattedCitation":"(Rasid, Mustafa, Suradin, &amp; Hassan, 2012)","previouslyFormattedCitation":"(Rasid, Mustafa, Suradin, &amp; Hassan, 2012)"},"properties":{"noteIndex":0},"schema":"https://github.com/citation-style-language/schema/raw/master/csl-citation.json"}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(Rasid, Mustafa, Suradin, &amp; Hassan, 2012)</w:t>
      </w:r>
      <w:r w:rsidRPr="0081088D">
        <w:rPr>
          <w:rFonts w:ascii="Tahoma" w:hAnsi="Tahoma" w:cs="Tahoma"/>
          <w:szCs w:val="18"/>
        </w:rPr>
        <w:fldChar w:fldCharType="end"/>
      </w:r>
      <w:r w:rsidRPr="0081088D">
        <w:rPr>
          <w:rFonts w:ascii="Tahoma" w:hAnsi="Tahoma" w:cs="Tahoma"/>
          <w:szCs w:val="18"/>
        </w:rPr>
        <w:t xml:space="preserve">, serta kewirausahaan dan inovasi  </w:t>
      </w:r>
      <w:r w:rsidRPr="0081088D">
        <w:rPr>
          <w:rFonts w:ascii="Tahoma" w:hAnsi="Tahoma" w:cs="Tahoma"/>
          <w:szCs w:val="18"/>
        </w:rPr>
        <w:fldChar w:fldCharType="begin" w:fldLock="1"/>
      </w:r>
      <w:r>
        <w:rPr>
          <w:rFonts w:ascii="Tahoma" w:hAnsi="Tahoma" w:cs="Tahoma"/>
          <w:szCs w:val="18"/>
        </w:rPr>
        <w:instrText>ADDIN CSL_CITATION {"citationItems":[{"id":"ITEM-1","itemData":{"DOI":"10.6084/m9.figshare.6267980","abstract":"Entrepreneurship is the key word for the local population able to run ecotourism services. Ecotourism services as an economic approach, to optimize the benefits from the social aspects and ecology. Ecotourism should be interpreted as farming that could provide jobs, and generate revenue.\r\n\r\nThe study aims to measure an entrepreneurial capacity of local people in economic activities. The survey has been conducted on the Ngadas and Ranu Pane village, under the Bromo Tengger Semeru National Park (BTSNP) area authority. Ecotourism products and services in BTSNP is diverse, ranging from ocean sand scenery and the crater of Bromo, Semeru ascent, flora and fauna, to the culture of Kasodo and Karo.\r\n\r\nIn Ngadas and Ranu Pane village, local people of the Tengger or Javanese tribes able to play a role in transportation service, lodging, food and beverage stalls or packaging of traditional cultural attractions. Ecotourism business is run with simple management.\r\n\r\nThe analysis method of farming option (farm or ecotourism) used a binary logistic regression. Results showed that variables of facilities, experiences and and entrepreneurship score showed a positive relationship significantly to effect tendency of the mixed farming, each with a coefficient of 1.1522, 1.6928 and 0.15599. The three variables become a source of inspiration for local people into the entrepreneurial learning process and forming productive behavior in the ecotourism development.\r\n\r\n\r\n\r\nPurnomowati, W., I. Nugroho dan P. D. Negara. 2012. Entrepreneurship Ability On Ecotourism Services Of Local People In Taman Nasional Bromo Tengger Semeru, Malang Regency, East Java, Indonesia . 11th International Entrepreneurship Forum (11th IEF) Conference Entrepreneurship and Sustainability: From Lifestyles to Innovative Enterprises in Creative and Sustainable Environments, CONFERENCE PROCEEDINGS. Volume 2, ISSN: 2222-7318. 3-6 September 2012, Kuala Lumpur, Malaysia. 458-473","author":[{"dropping-particle":"","family":"Purnomowati","given":"Wiwin","non-dropping-particle":"","parse-names":false,"suffix":""},{"dropping-particle":"","family":"Nugroho","given":"Iwan","non-dropping-particle":"","parse-names":false,"suffix":""},{"dropping-particle":"","family":"Negara","given":"Purnawan Dwikora","non-dropping-particle":"","parse-names":false,"suffix":""}],"container-title":"11th International Entrepreneurship Forum (11th IEF) Conference Entrepreneurship and Sustainability: From Lifestyles to Innovative Enterprises in Creative and Sustainable Environments, 3-6 September 2012","id":"ITEM-1","issued":{"date-parts":[["2012"]]},"page":"458-473","publisher":"International Entrepreneurship Forum Conference","publisher-place":"Kuala Lumpur, Malaysia.","title":"Entrepreneurship Ability On Ecotourism Services Of Local People in Bromo Tengger Semeru National Park, Malang Regency, East Java, Indonesia .","type":"paper-conference"},"uris":["http://www.mendeley.com/documents/?uuid=d4bf497e-b133-3413-b8ec-083b69848675"]}],"mendeley":{"formattedCitation":"(Purnomowati, Nugroho, &amp; Negara, 2012)","plainTextFormattedCitation":"(Purnomowati, Nugroho, &amp; Negara, 2012)","previouslyFormattedCitation":"(Purnomowati, Nugroho, &amp; Negara, 2012)"},"properties":{"noteIndex":0},"schema":"https://github.com/citation-style-language/schema/raw/master/csl-citation.json"}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(Purnomowati, Nugroho, &amp; Negara, 2012)</w:t>
      </w:r>
      <w:r w:rsidRPr="0081088D">
        <w:rPr>
          <w:rFonts w:ascii="Tahoma" w:hAnsi="Tahoma" w:cs="Tahoma"/>
          <w:szCs w:val="18"/>
        </w:rPr>
        <w:fldChar w:fldCharType="end"/>
      </w:r>
      <w:r w:rsidRPr="0081088D">
        <w:rPr>
          <w:rFonts w:ascii="Tahoma" w:hAnsi="Tahoma" w:cs="Tahoma"/>
          <w:szCs w:val="18"/>
        </w:rPr>
        <w:t xml:space="preserve">.  Manajemen dan kemimpinan organisasi berfungsi mengarahkan pengembangan sumberdaya dan kontribusi manfaat yang berkelanjutan.  Kapasitas sosial mengalir dari modal sosial yang merupakan stok atau sumber.   Konsepsi modal sosial sebagai stok menyediakan medium mekanisme alokasi sumberdaya, meliputi aspek sosial, lingkungan dan ekonomi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{"citationItems":[{"id":"ITEM-1","itemData":{"DOI":"10.1016/j.ecolecon.2007.09.011","ISSN":"09218009","abstract":"This paper aims to provide a new approach to objectively assess hierarchies and priority setting in the relationship between environmental, social and economic sustainability within Sustainable Development. After a literature review, several widely used conceptual figures (diagrams) describing this relationship were assessed using SWOT analyses in order to identify the major weaknesses in these pictorial descriptions. Based on the findings, a new concept called '3-D Sustainability' has been developed and is presented visually as well as is described in the text. This concept introduces and ranks criteria for the assessment of hierarchies within, and conflicts of interests between, social, environmental and economic sustainability (the three dimensions of sustainability). These criteria are applied to several existing hierarchies and solutions to conflicts of interests. Based on the SWOT analyses, the main shortcomings of the widely used conceptual figures were identified as (1) misinterpretation of embeddings, (2) misjudgement of equity between the three dimensions of sustainability, (3) a lack of expression of limitations, and (4) lack of adequate decision support. These shortcomings are overcome (theoretically and in practice) by '3-D Sustainability', a slightly more complex, but conceptually richer, figure than the widely used conceptual figures assessed. In particular, the shift of the burden of proof within the three sustainability dimensions is argued as a main solution. The application of the criteria of '3-D Sustainability' to several real examples indicates its usefulness in decision support, while justifying more sustainable hierarchies and solutions in the settlement of conflicts of interests within the three sustainability dimensions. © 2007 Elsevier B.V. All rights reserved.","author":[{"dropping-particle":"","family":"Mauerhofer","given":"Volker","non-dropping-particle":"","parse-names":false,"suffix":""}],"container-title":"Ecological Economics","id":"ITEM-1","issue":"3","issued":{"date-parts":[["2008","1","15"]]},"page":"496-506","title":"3-D Sustainability: An approach for priority setting in situation of conflicting interests towards a Sustainable Development","type":"article-journal","volume":"64"},"uris":["http://www.mendeley.com/documents/?uuid=42e8bd0c-05e5-3485-93d0-c7352f7ea826"]}],"mendeley":{"formattedCitation":"(Mauerhofer, 2008)","plainTextFormattedCitation":"(Mauerhofer, 2008)","previouslyFormattedCitation":"(Mauerhofer, 2008)"},"properties":{"noteIndex":0},"schema":"https://github.com/citation-style-language/schema/raw/master/csl-citation.json"}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(Mauerhofer, 2008)</w:t>
      </w:r>
      <w:r w:rsidRPr="0081088D">
        <w:rPr>
          <w:rFonts w:ascii="Tahoma" w:hAnsi="Tahoma" w:cs="Tahoma"/>
          <w:szCs w:val="18"/>
        </w:rPr>
        <w:fldChar w:fldCharType="end"/>
      </w:r>
      <w:r w:rsidRPr="0081088D">
        <w:rPr>
          <w:rFonts w:ascii="Tahoma" w:hAnsi="Tahoma" w:cs="Tahoma"/>
          <w:szCs w:val="18"/>
        </w:rPr>
        <w:t xml:space="preserve">.  Kapasitas sosial dapat tumbuh berkembang sejalan dengan pertumbuhan stok social capital.  </w:t>
      </w:r>
    </w:p>
    <w:p w:rsidR="0081323C" w:rsidRPr="0081088D" w:rsidRDefault="0081323C" w:rsidP="0081323C">
      <w:pPr>
        <w:spacing w:after="0" w:line="360" w:lineRule="auto"/>
        <w:ind w:firstLine="426"/>
        <w:jc w:val="both"/>
        <w:rPr>
          <w:rFonts w:ascii="Tahoma" w:hAnsi="Tahoma" w:cs="Tahoma"/>
          <w:szCs w:val="18"/>
        </w:rPr>
      </w:pPr>
      <w:r w:rsidRPr="0081088D">
        <w:rPr>
          <w:rFonts w:ascii="Tahoma" w:hAnsi="Tahoma" w:cs="Tahoma"/>
          <w:szCs w:val="18"/>
        </w:rPr>
        <w:t xml:space="preserve">Modal sosial adalah konsep yang mengacu kepada ikatan-ikatan sosial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{"citationItems":[{"id":"ITEM-1","itemData":{"DOI":"10.1017/S1474746403001052","ISBN":"1474-7464","ISSN":"14747464","abstract":"In this paper Putnam discusses the measurement challenges and some of the effects of Social Capital in the U.S. His definition of social capital revolves around the notion that networks and the reciprocity norms related to them are of value and that social capital as well as human capital have the potential to produce private and public (externalities) returns simultaneously. These returns can be both positive and negative. As is the case with physical capital, social capital is far from homogenous so the author suggests that before attempting to measure it, we need to identify the forms and types it can take (and may be a common feature, i.e. monetary value, in order to be able to add it and study it at the aggregate level?). Social capital can be formal or informal, thick (as in increased contact) or thin (not so often contact), used for good or bad. Putnam acknowledges and agrees with Woolcock in arguing that one of the most defining characteristics of social capital is the whether it is bridging or bonding. In terms of measurement, there is no available source capable to produce a clear, significant and reliable measure for social capital so the methodology followed is to attempt to identify common trends and draw conclusions through various different sources. The sources used are 1) Membership data of U.S. wide organisations (market share of organisations in the U.S.. This measure has 2 drawbacks, 1) no new organisation after 1900 was considered due to comparability issues, 2) Membership in organisations or clubs may have been substituted by more informal structures such as meeting friends at home etc. The solution came from two new datasets 1) the Roper survey and 2) the DDB Needham that cover a much larger extent of social capital forms), 2) Social Trust (Putnam recognises social trust not as a form of social capital but rather as its consequence (agreement with Woolcock, disagreement with Coleman) and hence a good proxy of social capital. The data shows that social trust falls as we move from one generation to the next in accordance with the rest of the sources) 3) Altruism and Philanthropy (closely related to social connectedness and hence it is a good indirect measure of social capital) and 4) Share of lawyers in the U.S. workforce (Social capital serves as an enforcing power on social obligations, tacit agreements and informal contracts. A reduction in social capital would hence create a need for more formal structures to ensure trust such as…","author":[{"dropping-particle":"","family":"Putnam","given":"Robert","non-dropping-particle":"","parse-names":false,"suffix":""}],"container-title":"Canadian Journal of Policy Research","id":"ITEM-1","issue":"1","issued":{"date-parts":[["2001"]]},"page":"41-51","title":"Social capital: Measurement and consequences","type":"article-journal","volume":"2"},"uris":["http://www.mendeley.com/documents/?uuid=03222274-63b1-3d88-a19d-122a615fceac"]}],"mendeley":{"formattedCitation":"(Putnam, 2001)","plainTextFormattedCitation":"(Putnam, 2001)","previouslyFormattedCitation":"(Putnam, 2001)"},"properties":{"noteIndex":0},"schema":"https://github.com/citation-style-language/schema/raw/master/csl-citation.json"}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(Putnam, 2001)</w:t>
      </w:r>
      <w:r w:rsidRPr="0081088D">
        <w:rPr>
          <w:rFonts w:ascii="Tahoma" w:hAnsi="Tahoma" w:cs="Tahoma"/>
          <w:szCs w:val="18"/>
        </w:rPr>
        <w:fldChar w:fldCharType="end"/>
      </w:r>
      <w:r w:rsidRPr="0081088D">
        <w:rPr>
          <w:rFonts w:ascii="Tahoma" w:hAnsi="Tahoma" w:cs="Tahoma"/>
          <w:szCs w:val="18"/>
        </w:rPr>
        <w:t xml:space="preserve"> untuk menghasilkan pemberdayaan dan partisipasi masyarakat disertai komitmen dan kinerja kehidupan yang optimal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10.5089/9781451849585.001","author":[{"dropping-particle":"","family":"Fukuyama","given":"F","non-dropping-particle":"","parse-names":false,"suffix":""}],"id":"ITEM-1","issued":{"date-parts":[["2000"]]},"number-of-pages":"18","publisher-place":"Washington, D.C., Amerika","title":"Social Capital and Civil Society","type":"report"},"uris":["http://www.mendeley.com/documents/?uuid=468be5bb-5af9-33b1-8168-716b964327c2"]},{"id":"ITEM-2","itemData":{"DOI":"10.1080/10511482.2001.9521429","ISSN":"10511482","abstract":"Abstract This article argues that contemporary interest in social capital by community development theorists, funders, and practitioners is misguided and needs to be thoroughly rethought. It argues that social capital, as understood by Robert Putnam and people influenced by his work, is a fundamentally flawed concept because it fails to understand issues of power in the production of communities and because it is divorced from economic capital. Therefore, community development practice based on this understanding of social capital is, and will continue to be, similarly flawed. The article further argues that instead of Putnam's understanding of social capital, community development practice would be better served by returning to the way the concept was used by Glenn Loury and Pierre Bourdieu and concludes with a discussion of how these alternative theories of social capital can be realized in community development practice.; Abstract This article argues that contemporary interest in social capital by community development theorists, funders, and practitioners is misguided and needs to be thoroughly rethought. It argues that social capital, as understood by Robert Putnam and people influenced by his work, is a fundamentally flawed concept because it fails to understand issues of power in the production of communities and because it is divorced from economic capital. Therefore, community development practice based on this understanding of social capital is, and will continue to be, similarly flawed. The article further argues that instead of Putnam's understanding of social capital, community development practice would be better served by returning to the way the concept was used by Glenn Loury and Pierre Bourdieu and concludes with a discussion of how these alternative theories of social capital can be realized in community development practice.","author":[{"dropping-particle":"","family":"DeFilippis","given":"James","non-dropping-particle":"","parse-names":false,"suffix":""}],"container-title":"Housing Policy Debate","id":"ITEM-2","issue":"4","issued":{"date-parts":[["2001"]]},"page":"781-806","title":"The myth of social capital in community development","type":"article-journal","volume":"12"},"uris":["http://www.mendeley.com/documents/?uuid=d936a525-9e09-3849-b312-bd53c6cb4ec5"]}],"mendeley":{"formattedCitation":"(DeFilippis, 2001; Fukuyama, 2000)","plainTextFormattedCitation":"(DeFilippis, 2001; Fukuyama, 2000)","previouslyFormattedCitation":"(DeFilippis, 2001; Fukuyama, 2000)"},"properties":{"noteIndex":0},"schema":"https://github.com/citation-style-language/schema/raw/master/csl-citation.json"}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(DeFilippis, 2001; Fukuyama, 2000)</w:t>
      </w:r>
      <w:r w:rsidRPr="0081088D">
        <w:rPr>
          <w:rFonts w:ascii="Tahoma" w:hAnsi="Tahoma" w:cs="Tahoma"/>
          <w:szCs w:val="18"/>
        </w:rPr>
        <w:fldChar w:fldCharType="end"/>
      </w:r>
      <w:r w:rsidRPr="0081088D">
        <w:rPr>
          <w:rFonts w:ascii="Tahoma" w:hAnsi="Tahoma" w:cs="Tahoma"/>
          <w:szCs w:val="18"/>
        </w:rPr>
        <w:t xml:space="preserve">.  Ikatan itu adalah hasil interaksi dari norma, tradisi, agama, pengalaman sejarah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{"citationItems":[{"id":"ITEM-1","itemData":{"DOI":"10.1080/713701144","ISSN":"01436597","abstract":"Social capital is an instantiated informal norm that promotes co-operation between individuals. In the economic sphere it reduces transaction costs and in the political sphere it promotes the kind of associational life which is necessary for the success of limited government and modern democracy. While it often arises from iterated Prisoner's Dilemma games, it also is a byproduct of religion, tradition, shared historical experience and other types of cultural norms. Thus, while awareness of social capital is often critical for understanding development, it is difficult to generate through public policy.","author":[{"dropping-particle":"","family":"Fukuyama","given":"F.","non-dropping-particle":"","parse-names":false,"suffix":""}],"container-title":"Third World Quarterly","id":"ITEM-1","issue":"1","issued":{"date-parts":[["2001"]]},"page":"7-20","publisher":"Carfax Publishing Company","title":"Social capital, civil society and development","type":"article-journal","volume":"22"},"uris":["http://www.mendeley.com/documents/?uuid=faed2477-2fcc-3ad1-a0bf-ec68e9a60952"]}],"mendeley":{"formattedCitation":"(Fukuyama, 2001)","plainTextFormattedCitation":"(Fukuyama, 2001)","previouslyFormattedCitation":"(Fukuyama, 2001)"},"properties":{"noteIndex":0},"schema":"https://github.com/citation-style-language/schema/raw/master/csl-citation.json"}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(Fukuyama, 2001)</w:t>
      </w:r>
      <w:r w:rsidRPr="0081088D">
        <w:rPr>
          <w:rFonts w:ascii="Tahoma" w:hAnsi="Tahoma" w:cs="Tahoma"/>
          <w:szCs w:val="18"/>
        </w:rPr>
        <w:fldChar w:fldCharType="end"/>
      </w:r>
      <w:r w:rsidRPr="0081088D">
        <w:rPr>
          <w:rFonts w:ascii="Tahoma" w:hAnsi="Tahoma" w:cs="Tahoma"/>
          <w:szCs w:val="18"/>
        </w:rPr>
        <w:t xml:space="preserve">, dan di dalamnya memuat berfungsinya power, wewenang, dan trust (kepercayaan)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{"citationItems":[{"id":"ITEM-1","itemData":{"DOI":"10.1016/j.annals.2012.04.004","ISSN":"01607383","abstract":"Political trust is important for good governance. However, there is a paucity of research on this topic in the tourism literature. This paper tests a model of public trust in tourism institutions developed on the premise of the institutional and cultural theories of political trust. Results from the structural equation modeling analysis suggest that perceived economic and political performance of institutions, residents' power in tourism, and interpersonal trust are good determinants of political trust in tourism institutions. A significant relationship is also noted between public trust and political support for tourism. The theoretical and practical implications, of the findings, the study's limitations, and some directions for future research are discussed. © 2012 Elsevier Ltd.","author":[{"dropping-particle":"","family":"Nunkoo","given":"Robin","non-dropping-particle":"","parse-names":false,"suffix":""},{"dropping-particle":"","family":"Ramkissoon","given":"Haywantee","non-dropping-particle":"","parse-names":false,"suffix":""},{"dropping-particle":"","family":"Gursoy","given":"Dogan","non-dropping-particle":"","parse-names":false,"suffix":""}],"container-title":"Annals of Tourism Research","id":"ITEM-1","issue":"3","issued":{"date-parts":[["2012","7"]]},"page":"1538-1564","title":"Public trust in tourism institutions","type":"article-journal","volume":"39"},"uris":["http://www.mendeley.com/documents/?uuid=3e027eaa-a73e-30c0-bbf6-1671f9aa951f"]},{"id":"ITEM-2","itemData":{"DOI":"10.1177/0192512101222004","ISSN":"01925121","abstract":"The importance of trust has long been emphasised by social and political theorists from Locke and Tocqueville to Putnam and civil society theorists. However, individual survey data casts substantial doubt on this powerful tradition of thought. There is little evidence of (1) an overlap between social and political trust, (2) a syndrome of trust and membership of voluntary organizations, and (3) the existence of trusting/distrusting dispositions among individuals. However, at the aggregate national level there is evidence to support the theory, and the author concludes that the classic theory is correct but needs modification and qualification.","author":[{"dropping-particle":"","family":"Newton","given":"Kenneth","non-dropping-particle":"","parse-names":false,"suffix":""}],"container-title":"International Political Science Review","id":"ITEM-2","issue":"2","issued":{"date-parts":[["2001"]]},"page":"201-214","publisher":"SAGE Publications Ltd","title":"Trust, social capital, civil society, and democracy","type":"article-journal","volume":"22"},"uris":["http://www.mendeley.com/documents/?uuid=bde6da2e-e625-32ef-97e2-f28fcf7a92ac"]}],"mendeley":{"formattedCitation":"(Newton, 2001; Nunkoo, Ramkissoon, &amp; Gursoy, 2012)","plainTextFormattedCitation":"(Newton, 2001; Nunkoo, Ramkissoon, &amp; Gursoy, 2012)","previouslyFormattedCitation":"(Newton, 2001; Nunkoo, Ramkissoon, &amp; Gursoy, 2012)"},"properties":{"noteIndex":0},"schema":"https://github.com/citation-style-language/schema/raw/master/csl-citation.json"}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(Newton, 2001; Nunkoo, Ramkissoon, &amp; Gursoy, 2012)</w:t>
      </w:r>
      <w:r w:rsidRPr="0081088D">
        <w:rPr>
          <w:rFonts w:ascii="Tahoma" w:hAnsi="Tahoma" w:cs="Tahoma"/>
          <w:szCs w:val="18"/>
        </w:rPr>
        <w:fldChar w:fldCharType="end"/>
      </w:r>
      <w:r w:rsidRPr="0081088D">
        <w:rPr>
          <w:rFonts w:ascii="Tahoma" w:hAnsi="Tahoma" w:cs="Tahoma"/>
          <w:szCs w:val="18"/>
        </w:rPr>
        <w:t xml:space="preserve">.  </w:t>
      </w:r>
    </w:p>
    <w:p w:rsidR="0081323C" w:rsidRPr="0081088D" w:rsidRDefault="0081323C" w:rsidP="0081323C">
      <w:pPr>
        <w:spacing w:after="0" w:line="360" w:lineRule="auto"/>
        <w:ind w:firstLine="426"/>
        <w:jc w:val="both"/>
        <w:rPr>
          <w:rFonts w:ascii="Tahoma" w:hAnsi="Tahoma" w:cs="Tahoma"/>
          <w:szCs w:val="18"/>
        </w:rPr>
      </w:pPr>
      <w:r w:rsidRPr="0081088D">
        <w:rPr>
          <w:rFonts w:ascii="Tahoma" w:hAnsi="Tahoma" w:cs="Tahoma"/>
          <w:szCs w:val="18"/>
        </w:rPr>
        <w:t xml:space="preserve">Modal sosial membentuk suatu kelembagaan yang dilandasi norma tertentu, yang mengikat berbagai kepentingan (jaringan), sekaligus membentuk trust dan motivasi untuk mengkontribusi manfaat dari pengelolaan  suatu sumberdaya </w:t>
      </w:r>
      <w:r w:rsidRPr="0081088D">
        <w:rPr>
          <w:rFonts w:ascii="Tahoma" w:hAnsi="Tahoma" w:cs="Tahoma"/>
          <w:szCs w:val="18"/>
        </w:rPr>
        <w:fldChar w:fldCharType="begin" w:fldLock="1"/>
      </w:r>
      <w:r w:rsidRPr="0081088D">
        <w:rPr>
          <w:rFonts w:ascii="Tahoma" w:hAnsi="Tahoma" w:cs="Tahoma"/>
          <w:szCs w:val="18"/>
        </w:rPr>
        <w:instrText>ADDIN CSL_CITATION {"citationItems":[{"id":"ITEM-1","itemData":{"ISSN":"2541-0857","abstract":"Social capital is an often-unrecognized staple of community participation in a tourism site\"s development, although social capital comprises elements essential for successful community-based participation. This paper discusses how the host community\"s participation in the tourism development of Cibalay Megalithic Site was driven by local social capital. Cibalay Megalithic Site is one of the last reminders of ancient beliefs and is an iconic landmark, located within the Bogor Regency of West Java, Indonesia. It is also within the protected area of Gunung Halimun Salak National Park. Cibalay Megalithic Site is a product of a socio-cultural environment, deriving from the relationship between man and nature. Thus, its tourism development should interpret this history and promulgate environmental education as one of the key elements of sustainable tourism. The local Village of Tapos I was established as a tourism village; within this village, the hamlet of Sinar Wangi was declared a conservation hamlet. Both designations were achieved due to local initiatives of the host community in developing local tourism, with Cibalay Megalithic Site as the iconic tourism focus of the area. The high level of trust towards local figures and visitors, the conservation norm of \"leuweung hejo, masyarakat ngejo\" (if the forest is green, then the people will be prosperous) underlying everyday local life that indicates the importance of nurturing nature, good inter-personal relations between village members, and good social networking with outsiders: all combined to create the conditions and motivation that facilitated collective action in developing local heritage tourism.","author":[{"dropping-particle":"","family":"Sunkar","given":"Arzyana","non-dropping-particle":"","parse-names":false,"suffix":""},{"dropping-particle":"","family":"Meilani","given":"Resti","non-dropping-particle":"","parse-names":false,"suffix":""},{"dropping-particle":"","family":"Rahayuningsih","given":"Tri","non-dropping-particle":"","parse-names":false,"suffix":""},{"dropping-particle":"","family":"Muntasib","given":"Ek S Harini","non-dropping-particle":"","parse-names":false,"suffix":""}],"container-title":"Journal of Tourism","id":"ITEM-1","issue":"2","issued":{"date-parts":[["2016"]]},"page":"120-129","title":"Social Capital: a Basis for Community Participation in Fostering Environmental Education and the Heritage Tourism Development of Cibalay Megalithic Site","type":"article-journal","volume":"3"},"uris":["http://www.mendeley.com/documents/?uuid=a67a0b4c-3c1f-3f73-88fe-4b70bf1f0ed1"]}],"mendeley":{"formattedCitation":"(Sunkar, Meilani, Rahayuningsih, &amp; Muntasib, 2016)","plainTextFormattedCitation":"(Sunkar, Meilani, Rahayuningsih, &amp; Muntasib, 2016)","previouslyFormattedCitation":"(Sunkar, Meilani, Rahayuningsih, &amp; Muntasib, 2016)"},"properties":{"noteIndex":0},"schema":"https://github.com/citation-style-language/schema/raw/master/csl-citation.json"}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(Sunkar, Meilani, Rahayuningsih, &amp; Muntasib, 2016)</w:t>
      </w:r>
      <w:r w:rsidRPr="0081088D">
        <w:rPr>
          <w:rFonts w:ascii="Tahoma" w:hAnsi="Tahoma" w:cs="Tahoma"/>
          <w:szCs w:val="18"/>
        </w:rPr>
        <w:fldChar w:fldCharType="end"/>
      </w:r>
      <w:r w:rsidRPr="0081088D">
        <w:rPr>
          <w:rFonts w:ascii="Tahoma" w:hAnsi="Tahoma" w:cs="Tahoma"/>
          <w:szCs w:val="18"/>
        </w:rPr>
        <w:t xml:space="preserve">. Pengelolaan sumberdaya berjalan optimal karena berfungsinya faktor-faktor norma, trust, collectivism, authority dan kohesivitas sosial </w:t>
      </w:r>
      <w:r w:rsidRPr="0081088D">
        <w:rPr>
          <w:rFonts w:ascii="Tahoma" w:hAnsi="Tahoma" w:cs="Tahoma"/>
          <w:szCs w:val="18"/>
        </w:rPr>
        <w:fldChar w:fldCharType="begin" w:fldLock="1"/>
      </w:r>
      <w:r w:rsidR="00DF341A">
        <w:rPr>
          <w:rFonts w:ascii="Tahoma" w:hAnsi="Tahoma" w:cs="Tahoma"/>
          <w:szCs w:val="18"/>
        </w:rPr>
        <w:instrText>ADDIN CSL_CITATION {"citationItems":[{"id":"ITEM-1","itemData":{"DOI":"10.1504/ijmabs.2018.10014342","abstract":"This is the second part of the paper on sustainability development.\r\nPart 1 developed theory that explains how complex adaptive human activity\r\nsystems can be seen as autonomous and self-organising third order cybernetic\r\nsystems. In this part 2 of the paper a review of the concepts related to\r\nsustainability is undertaken and discussed. The paper falls into three parts. The\r\nfirst part relates to the early concepts of the sustainability due to three pillars or\r\ndisciplinary dimensions of the human activity. The second elaborates on this \r\nthrough the consideration of additional dimensions, which are then referred to \r\nas systems. The third extends this argument and considers the rational for these\r\ndimensions, in due course reducing them to as five relevant interactive systems.\r\nThese together compose an interactive supersystem. Sustainability development\r\nrefers to this supersystem, not to the individual systems. In part 3 of the paper,\r\nthese systems are considered to be complex human adaptive systems and each\r\nis explored in more detail. ","author":[{"dropping-particle":"","family":"Yolles","given":"Maurice","non-dropping-particle":"","parse-names":false,"suffix":""}],"container-title":"International Journal of Markets and Business Systems","id":"ITEM-1","issue":"3","issued":{"date-parts":[["2018"]]},"page":"257-275","publisher":"Inderscience Publishers","title":"Sustainability development: part 2 - exploring the dimensions of sustainability development","type":"article-journal","volume":"3"},"uris":["http://www.mendeley.com/documents/?uuid=38a56ad0-162b-36d3-a8ec-c351c5e3859e"]},{"id":"ITEM-2","itemData":{"DOI":"10.1596/0-8213-5661-5","ISBN":"0821356615","ISSN":"17265878","PMID":"17262982","abstract":"The idea of social capital has enjoyed a remarkable rise to prominence in both the theoretical and applied social science literature over the last decade. While lively debate has accompanied that journey, thereby helping to advance our thinking and to clarify areas of agreement and disagreement, much still remains to be done. One approach that we hope can help bring further advances for both scholars and practitioners is the provision of a set of empirical tools for measuring social capital. The purpose of this paper is to introduce such a tool - the Integrated Questionnaire for the Measurement of Social Capital (SC-IQ) - with a focus on applications in developing countries. The tool aims to generate quantitative data on various dimensions of social capital as part of a larger household survey (such as the Living Standards Measurement Survey or a household income/expenditure survey). Specifically, six dimensions are considered: groups and networks; trust and solidarity; collective action and cooperation; information and communication; social cohesion and inclusion; empowerment and political action. The paper addresses sampling and data collection issues for implementing the SC-IQ and provides guidance for the use and analysis of data. The tool has been pilot-tested in Albania and Nigeria and a review of lessons learned is presented. We hope that better empirical information on social capital will lead to greater dialogue between researchers, policymakers, task managers, and poor people themselves, thus ultimately leading to the design and implementation of more effective poverty reduction strategies.","author":[{"dropping-particle":"","family":"Grootaert","given":"Christiaan","non-dropping-particle":"","parse-names":false,"suffix":""},{"dropping-particle":"","family":"Narayan","given":"Deepa","non-dropping-particle":"","parse-names":false,"suffix":""},{"dropping-particle":"","family":"Jones","given":"Veronica Nyhan","non-dropping-particle":"","parse-names":false,"suffix":""},{"dropping-particle":"","family":"Woolcock","given":"Michael","non-dropping-particle":"","parse-names":false,"suffix":""}],"container-title":"World Bank Working Paper","id":"ITEM-2","issued":{"date-parts":[["2004"]]},"number-of-pages":"53","title":"Measuring social capital: An integrated questionnaire","type":"report"},"uris":["http://www.mendeley.com/documents/?uuid=f62568de-af43-30ab-bc7e-45535e0ece6f"]}],"mendeley":{"formattedCitation":"(Grootaert, Narayan, Jones, &amp; Woolcock, 2004; Yolles, 2018)","plainTextFormattedCitation":"(Grootaert, Narayan, Jones, &amp; Woolcock, 2004; Yolles, 2018)","previouslyFormattedCitation":"(Grootaert, Narayan, Jones, &amp; Woolcock, 2004; Yolles, 2018)"},"properties":{"noteIndex":0},"schema":"https://github.com/citation-style-language/schema/raw/master/csl-citation.json"}</w:instrText>
      </w:r>
      <w:r w:rsidRPr="0081088D">
        <w:rPr>
          <w:rFonts w:ascii="Tahoma" w:hAnsi="Tahoma" w:cs="Tahoma"/>
          <w:szCs w:val="18"/>
        </w:rPr>
        <w:fldChar w:fldCharType="separate"/>
      </w:r>
      <w:r w:rsidR="00DC627D" w:rsidRPr="00DC627D">
        <w:rPr>
          <w:rFonts w:ascii="Tahoma" w:hAnsi="Tahoma" w:cs="Tahoma"/>
          <w:noProof/>
          <w:szCs w:val="18"/>
        </w:rPr>
        <w:t>(Grootaert, Narayan, Jones, &amp; Woolcock, 2004; Yolles, 2018)</w:t>
      </w:r>
      <w:r w:rsidRPr="0081088D">
        <w:rPr>
          <w:rFonts w:ascii="Tahoma" w:hAnsi="Tahoma" w:cs="Tahoma"/>
          <w:szCs w:val="18"/>
        </w:rPr>
        <w:fldChar w:fldCharType="end"/>
      </w:r>
      <w:r w:rsidRPr="0081088D">
        <w:rPr>
          <w:rFonts w:ascii="Tahoma" w:hAnsi="Tahoma" w:cs="Tahoma"/>
          <w:szCs w:val="18"/>
        </w:rPr>
        <w:t xml:space="preserve">.   </w:t>
      </w:r>
    </w:p>
    <w:p w:rsidR="0081323C" w:rsidRPr="0081088D" w:rsidRDefault="0081323C" w:rsidP="0081323C">
      <w:pPr>
        <w:spacing w:after="0" w:line="360" w:lineRule="auto"/>
        <w:ind w:firstLine="426"/>
        <w:jc w:val="both"/>
        <w:rPr>
          <w:rFonts w:ascii="Tahoma" w:hAnsi="Tahoma" w:cs="Tahoma"/>
          <w:szCs w:val="18"/>
        </w:rPr>
      </w:pPr>
      <w:r w:rsidRPr="0081088D">
        <w:rPr>
          <w:rFonts w:ascii="Tahoma" w:hAnsi="Tahoma" w:cs="Tahoma"/>
          <w:szCs w:val="18"/>
        </w:rPr>
        <w:t xml:space="preserve">Implementasi modal sosial dalam dalam  pengembangan wisata  telah banyak dipelajari.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{"citationItems":[{"id":"ITEM-1","itemData":{"DOI":"10.1016/j.annals.2012.04.004","ISSN":"01607383","abstract":"Political trust is important for good governance. However, there is a paucity of research on this topic in the tourism literature. This paper tests a model of public trust in tourism institutions developed on the premise of the institutional and cultural theories of political trust. Results from the structural equation modeling analysis suggest that perceived economic and political performance of institutions, residents' power in tourism, and interpersonal trust are good determinants of political trust in tourism institutions. A significant relationship is also noted between public trust and political support for tourism. The theoretical and practical implications, of the findings, the study's limitations, and some directions for future research are discussed. © 2012 Elsevier Ltd.","author":[{"dropping-particle":"","family":"Nunkoo","given":"Robin","non-dropping-particle":"","parse-names":false,"suffix":""},{"dropping-particle":"","family":"Ramkissoon","given":"Haywantee","non-dropping-particle":"","parse-names":false,"suffix":""},{"dropping-particle":"","family":"Gursoy","given":"Dogan","non-dropping-particle":"","parse-names":false,"suffix":""}],"container-title":"Annals of Tourism Research","id":"ITEM-1","issue":"3","issued":{"date-parts":[["2012","7"]]},"page":"1538-1564","title":"Public trust in tourism institutions","type":"article-journal","volume":"39"},"uris":["http://www.mendeley.com/documents/?uuid=3e027eaa-a73e-30c0-bbf6-1671f9aa951f"]}],"mendeley":{"formattedCitation":"(Nunkoo et al., 2012)","plainTextFormattedCitation":"(Nunkoo et al., 2012)","previouslyFormattedCitation":"(Nunkoo et al., 2012)"},"properties":{"noteIndex":0},"schema":"https://github.com/citation-style-language/schema/raw/master/csl-citation.json"}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(Nunkoo et al., 2012)</w:t>
      </w:r>
      <w:r w:rsidRPr="0081088D">
        <w:rPr>
          <w:rFonts w:ascii="Tahoma" w:hAnsi="Tahoma" w:cs="Tahoma"/>
          <w:szCs w:val="18"/>
        </w:rPr>
        <w:fldChar w:fldCharType="end"/>
      </w:r>
      <w:r w:rsidRPr="0081088D">
        <w:rPr>
          <w:rFonts w:ascii="Tahoma" w:hAnsi="Tahoma" w:cs="Tahoma"/>
          <w:szCs w:val="18"/>
        </w:rPr>
        <w:t xml:space="preserve"> mempelajari peran institusi, kewenangan dan trust antar  penduduk lokal menjadi penentu dalam mengembangan usaha jasa wisata.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{"citationItems":[{"id":"ITEM-1","itemData":{"DOI":"10.1016/j.marpol.2013.08.017","ISSN":"0308597X","abstract":"Conservation success is often predicated on local support for conservation which is strongly influenced by perceptions of the impacts that are experienced by local communities and opinions of management and governance. Marine protected areas (MPAs) are effective conservation and fisheries management tools that can also have a broad array of positive and negative social, economic, cultural, and political impacts on local communities. Drawing on results from a mixed-methods study of communities on the Andaman Coast of Thailand, this paper explores perceptions of MPA impacts on community livelihood resources (assets) and outcomes as well as MPA governance and management. The area includes 17 National Marine Parks (NMPs) that are situated near rural communities that are highly dependent on coastal resources. Interview participants perceived NMPs to have limited to negative impacts on fisheries and agricultural livelihoods and negligible benefits for tourism livelihoods. Perceived impacts on livelihoods were felt to result from NMPs undermining access to or lacking support for development of cultural, social, political, financial, natural, human, physical, and political capital assets. Conflicting views emerged on whether NMPs resulted in negative or positive marine or terrestrial conservation outcomes. Perceptions of NMP governance and management processes were generally negative. These results point to some necessary policy improvements and actions to ameliorate: the relationship between the NMP and communities, NMP management and governance processes, and socio-economic and conservation outcomes. © 2013 The Authors.","author":[{"dropping-particle":"","family":"Bennett","given":"Nathan James","non-dropping-particle":"","parse-names":false,"suffix":""},{"dropping-particle":"","family":"Dearden","given":"Philip","non-dropping-particle":"","parse-names":false,"suffix":""}],"container-title":"Marine Policy","id":"ITEM-1","issued":{"date-parts":[["2014","2"]]},"page":"107-116","title":"Why local people do not support conservation: Community perceptions of marine protected area livelihood impacts, governance and management in Thailand","type":"article-journal","volume":"44"},"uris":["http://www.mendeley.com/documents/?uuid=1c3ab248-5a9c-3654-8456-5e29216716db"]}],"mendeley":{"formattedCitation":"(Bennett &amp; Dearden, 2014)","plainTextFormattedCitation":"(Bennett &amp; Dearden, 2014)","previouslyFormattedCitation":"(Bennett &amp; Dearden, 2014)"},"properties":{"noteIndex":0},"schema":"https://github.com/citation-style-language/schema/raw/master/csl-citation.json"}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(Bennett &amp; Dearden, 2014)</w:t>
      </w:r>
      <w:r w:rsidRPr="0081088D">
        <w:rPr>
          <w:rFonts w:ascii="Tahoma" w:hAnsi="Tahoma" w:cs="Tahoma"/>
          <w:szCs w:val="18"/>
        </w:rPr>
        <w:fldChar w:fldCharType="end"/>
      </w:r>
      <w:r w:rsidRPr="0081088D">
        <w:rPr>
          <w:rFonts w:ascii="Tahoma" w:hAnsi="Tahoma" w:cs="Tahoma"/>
          <w:szCs w:val="18"/>
        </w:rPr>
        <w:t xml:space="preserve"> memandang penting saling percaya (trust) antara penduduk lokal  dan taman nasional dalam rangka pengelolaan sumberdaya pesisir yang berkelanjutan.  Persepsi negatif lahir karena tidak ada trust, tentang peran para pihak dan apa yang dapat dikontribusikan.  Trust dapat melahirkan hubungan antar personal yang positif dan melahirkan collective action untuk mengembangkan wisata </w:t>
      </w:r>
      <w:r w:rsidRPr="0081088D">
        <w:rPr>
          <w:rFonts w:ascii="Tahoma" w:hAnsi="Tahoma" w:cs="Tahoma"/>
          <w:szCs w:val="18"/>
        </w:rPr>
        <w:fldChar w:fldCharType="begin" w:fldLock="1"/>
      </w:r>
      <w:r w:rsidRPr="0081088D">
        <w:rPr>
          <w:rFonts w:ascii="Tahoma" w:hAnsi="Tahoma" w:cs="Tahoma"/>
          <w:szCs w:val="18"/>
        </w:rPr>
        <w:instrText>ADDIN CSL_CITATION {"citationItems":[{"id":"ITEM-1","itemData":{"ISSN":"2541-0857","abstract":"Social capital is an often-unrecognized staple of community participation in a tourism site\"s development, although social capital comprises elements essential for successful community-based participation. This paper discusses how the host community\"s participation in the tourism development of Cibalay Megalithic Site was driven by local social capital. Cibalay Megalithic Site is one of the last reminders of ancient beliefs and is an iconic landmark, located within the Bogor Regency of West Java, Indonesia. It is also within the protected area of Gunung Halimun Salak National Park. Cibalay Megalithic Site is a product of a socio-cultural environment, deriving from the relationship between man and nature. Thus, its tourism development should interpret this history and promulgate environmental education as one of the key elements of sustainable tourism. The local Village of Tapos I was established as a tourism village; within this village, the hamlet of Sinar Wangi was declared a conservation hamlet. Both designations were achieved due to local initiatives of the host community in developing local tourism, with Cibalay Megalithic Site as the iconic tourism focus of the area. The high level of trust towards local figures and visitors, the conservation norm of \"leuweung hejo, masyarakat ngejo\" (if the forest is green, then the people will be prosperous) underlying everyday local life that indicates the importance of nurturing nature, good inter-personal relations between village members, and good social networking with outsiders: all combined to create the conditions and motivation that facilitated collective action in developing local heritage tourism.","author":[{"dropping-particle":"","family":"Sunkar","given":"Arzyana","non-dropping-particle":"","parse-names":false,"suffix":""},{"dropping-particle":"","family":"Meilani","given":"Resti","non-dropping-particle":"","parse-names":false,"suffix":""},{"dropping-particle":"","family":"Rahayuningsih","given":"Tri","non-dropping-particle":"","parse-names":false,"suffix":""},{"dropping-particle":"","family":"Muntasib","given":"Ek S Harini","non-dropping-particle":"","parse-names":false,"suffix":""}],"container-title":"Journal of Tourism","id":"ITEM-1","issue":"2","issued":{"date-parts":[["2016"]]},"page":"120-129","title":"Social Capital: a Basis for Community Participation in Fostering Environmental Education and the Heritage Tourism Development of Cibalay Megalithic Site","type":"article-journal","volume":"3"},"uris":["http://www.mendeley.com/documents/?uuid=a67a0b4c-3c1f-3f73-88fe-4b70bf1f0ed1"]}],"mendeley":{"formattedCitation":"(Sunkar et al., 2016)","plainTextFormattedCitation":"(Sunkar et al., 2016)","previouslyFormattedCitation":"(Sunkar et al., 2016)"},"properties":{"noteIndex":0},"schema":"https://github.com/citation-style-language/schema/raw/master/csl-citation.json"}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(Sunkar et al., 2016)</w:t>
      </w:r>
      <w:r w:rsidRPr="0081088D">
        <w:rPr>
          <w:rFonts w:ascii="Tahoma" w:hAnsi="Tahoma" w:cs="Tahoma"/>
          <w:szCs w:val="18"/>
        </w:rPr>
        <w:fldChar w:fldCharType="end"/>
      </w:r>
      <w:r w:rsidRPr="0081088D">
        <w:rPr>
          <w:rFonts w:ascii="Tahoma" w:hAnsi="Tahoma" w:cs="Tahoma"/>
          <w:szCs w:val="18"/>
        </w:rPr>
        <w:t xml:space="preserve">.  </w:t>
      </w:r>
    </w:p>
    <w:p w:rsidR="0081323C" w:rsidRPr="0081088D" w:rsidRDefault="0081323C" w:rsidP="0081323C">
      <w:pPr>
        <w:spacing w:after="0" w:line="360" w:lineRule="auto"/>
        <w:ind w:firstLine="426"/>
        <w:jc w:val="both"/>
        <w:rPr>
          <w:rFonts w:ascii="Tahoma" w:hAnsi="Tahoma" w:cs="Tahoma"/>
          <w:szCs w:val="18"/>
        </w:rPr>
      </w:pPr>
      <w:r w:rsidRPr="0081088D">
        <w:rPr>
          <w:rFonts w:ascii="Tahoma" w:hAnsi="Tahoma" w:cs="Tahoma"/>
          <w:color w:val="000000"/>
          <w:szCs w:val="18"/>
        </w:rPr>
        <w:lastRenderedPageBreak/>
        <w:fldChar w:fldCharType="begin" w:fldLock="1"/>
      </w:r>
      <w:r>
        <w:rPr>
          <w:rFonts w:ascii="Tahoma" w:hAnsi="Tahoma" w:cs="Tahoma"/>
          <w:color w:val="000000"/>
          <w:szCs w:val="18"/>
        </w:rPr>
        <w:instrText>ADDIN CSL_CITATION {"citationItems":[{"id":"ITEM-1","itemData":{"DOI":"10.1596/0-8213-5661-5","ISBN":"0821356615","ISSN":"17265878","PMID":"17262982","abstract":"The idea of social capital has enjoyed a remarkable rise to prominence in both the theoretical and applied social science literature over the last decade. While lively debate has accompanied that journey, thereby helping to advance our thinking and to clarify areas of agreement and disagreement, much still remains to be done. One approach that we hope can help bring further advances for both scholars and practitioners is the provision of a set of empirical tools for measuring social capital. The purpose of this paper is to introduce such a tool - the Integrated Questionnaire for the Measurement of Social Capital (SC-IQ) - with a focus on applications in developing countries. The tool aims to generate quantitative data on various dimensions of social capital as part of a larger household survey (such as the Living Standards Measurement Survey or a household income/expenditure survey). Specifically, six dimensions are considered: groups and networks; trust and solidarity; collective action and cooperation; information and communication; social cohesion and inclusion; empowerment and political action. The paper addresses sampling and data collection issues for implementing the SC-IQ and provides guidance for the use and analysis of data. The tool has been pilot-tested in Albania and Nigeria and a review of lessons learned is presented. We hope that better empirical information on social capital will lead to greater dialogue between researchers, policymakers, task managers, and poor people themselves, thus ultimately leading to the design and implementation of more effective poverty reduction strategies.","author":[{"dropping-particle":"","family":"Grootaert","given":"Christiaan","non-dropping-particle":"","parse-names":false,"suffix":""},{"dropping-particle":"","family":"Narayan","given":"Deepa","non-dropping-particle":"","parse-names":false,"suffix":""},{"dropping-particle":"","family":"Jones","given":"Veronica Nyhan","non-dropping-particle":"","parse-names":false,"suffix":""},{"dropping-particle":"","family":"Woolcock","given":"Michael","non-dropping-particle":"","parse-names":false,"suffix":""}],"container-title":"World Bank Working Paper","id":"ITEM-1","issued":{"date-parts":[["2004"]]},"number-of-pages":"53","title":"Measuring social capital: An integrated questionnaire","type":"report"},"uris":["http://www.mendeley.com/documents/?uuid=f62568de-af43-30ab-bc7e-45535e0ece6f"]},{"id":"ITEM-2","itemData":{"DOI":"10.6084/m9.figshare.6265283","abstract":"The objective of the study was to analyze the effects of social capital aspects on the development of ecotourism in Tambaksari Village, East Java Province, Indonesia. Five latent variables related to social capital in tourism development, namely, trust, relationship, norm, participation and ecotourism development were analyzed using Structural Equation Modeling (SEM). The results of the study showed that there was a relationship between networking and ecotourism development, but there was no relationship between trust and ecotourism development. There was also no relationship between norms and ecotourism development. This research found that there was a relationship between community participation and ecotourism development. All these results show that social capital is one of the fundamental aspects towards sustainable tourism scenarios in Tambaksari Village.","author":[{"dropping-particle":"","family":"Baksh","given":"Rukavina","non-dropping-particle":"","parse-names":false,"suffix":""},{"dropping-particle":"","family":"Soemarno","given":"S","non-dropping-particle":"","parse-names":false,"suffix":""},{"dropping-particle":"","family":"Hakim","given":"Luchman","non-dropping-particle":"","parse-names":false,"suffix":""},{"dropping-particle":"","family":"Nugroho","given":"Iwan","non-dropping-particle":"","parse-names":false,"suffix":""}],"container-title":"J. Basic. Appl. Sci. Res","id":"ITEM-2","issue":"3","issued":{"date-parts":[["2013"]]},"page":"1-7","title":"Social Capital in the Development of Ecotourism: A Case Study in Tambaksari Village Pasuruan Regency, East Java Province, Indonesia","type":"article-journal","volume":"3"},"uris":["http://www.mendeley.com/documents/?uuid=67a092db-6b6b-39cf-b79a-f24ebc0341af"]}],"mendeley":{"formattedCitation":"(Baksh, Soemarno, Hakim, &amp; Nugroho, 2013; Grootaert et al., 2004)","plainTextFormattedCitation":"(Baksh, Soemarno, Hakim, &amp; Nugroho, 2013; Grootaert et al., 2004)","previouslyFormattedCitation":"(Baksh, Soemarno, Hakim, &amp; Nugroho, 2013; Grootaert et al., 2004)"},"properties":{"noteIndex":0},"schema":"https://github.com/citation-style-language/schema/raw/master/csl-citation.json"}</w:instrText>
      </w:r>
      <w:r w:rsidRPr="0081088D">
        <w:rPr>
          <w:rFonts w:ascii="Tahoma" w:hAnsi="Tahoma" w:cs="Tahoma"/>
          <w:color w:val="000000"/>
          <w:szCs w:val="18"/>
        </w:rPr>
        <w:fldChar w:fldCharType="separate"/>
      </w:r>
      <w:r w:rsidRPr="00071205">
        <w:rPr>
          <w:rFonts w:ascii="Tahoma" w:hAnsi="Tahoma" w:cs="Tahoma"/>
          <w:noProof/>
          <w:color w:val="000000"/>
          <w:szCs w:val="18"/>
        </w:rPr>
        <w:t>(Baksh, Soemarno, Hakim, &amp; Nugroho, 2013; Grootaert et al., 2004)</w:t>
      </w:r>
      <w:r w:rsidRPr="0081088D">
        <w:rPr>
          <w:rFonts w:ascii="Tahoma" w:hAnsi="Tahoma" w:cs="Tahoma"/>
          <w:color w:val="000000"/>
          <w:szCs w:val="18"/>
        </w:rPr>
        <w:fldChar w:fldCharType="end"/>
      </w:r>
      <w:r w:rsidRPr="0081088D">
        <w:rPr>
          <w:rFonts w:ascii="Tahoma" w:hAnsi="Tahoma" w:cs="Tahoma"/>
          <w:color w:val="000000"/>
          <w:szCs w:val="18"/>
        </w:rPr>
        <w:t xml:space="preserve"> menyatakan modal sosial akan menstimulasi pengelolaan dan pengembangan ekowisata.</w:t>
      </w:r>
      <w:r w:rsidRPr="0081088D">
        <w:rPr>
          <w:rFonts w:ascii="Tahoma" w:hAnsi="Tahoma" w:cs="Tahoma"/>
          <w:szCs w:val="18"/>
        </w:rPr>
        <w:t xml:space="preserve">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{"citationItems":[{"id":"ITEM-1","itemData":{"DOI":"10.1016/j.marpol.2013.08.017","ISSN":"0308597X","abstract":"Conservation success is often predicated on local support for conservation which is strongly influenced by perceptions of the impacts that are experienced by local communities and opinions of management and governance. Marine protected areas (MPAs) are effective conservation and fisheries management tools that can also have a broad array of positive and negative social, economic, cultural, and political impacts on local communities. Drawing on results from a mixed-methods study of communities on the Andaman Coast of Thailand, this paper explores perceptions of MPA impacts on community livelihood resources (assets) and outcomes as well as MPA governance and management. The area includes 17 National Marine Parks (NMPs) that are situated near rural communities that are highly dependent on coastal resources. Interview participants perceived NMPs to have limited to negative impacts on fisheries and agricultural livelihoods and negligible benefits for tourism livelihoods. Perceived impacts on livelihoods were felt to result from NMPs undermining access to or lacking support for development of cultural, social, political, financial, natural, human, physical, and political capital assets. Conflicting views emerged on whether NMPs resulted in negative or positive marine or terrestrial conservation outcomes. Perceptions of NMP governance and management processes were generally negative. These results point to some necessary policy improvements and actions to ameliorate: the relationship between the NMP and communities, NMP management and governance processes, and socio-economic and conservation outcomes. © 2013 The Authors.","author":[{"dropping-particle":"","family":"Bennett","given":"Nathan James","non-dropping-particle":"","parse-names":false,"suffix":""},{"dropping-particle":"","family":"Dearden","given":"Philip","non-dropping-particle":"","parse-names":false,"suffix":""}],"container-title":"Marine Policy","id":"ITEM-1","issued":{"date-parts":[["2014","2"]]},"page":"107-116","title":"Why local people do not support conservation: Community perceptions of marine protected area livelihood impacts, governance and management in Thailand","type":"article-journal","volume":"44"},"uris":["http://www.mendeley.com/documents/?uuid=1c3ab248-5a9c-3654-8456-5e29216716db"]}],"mendeley":{"formattedCitation":"(Bennett &amp; Dearden, 2014)","plainTextFormattedCitation":"(Bennett &amp; Dearden, 2014)","previouslyFormattedCitation":"(Bennett &amp; Dearden, 2014)"},"properties":{"noteIndex":0},"schema":"https://github.com/citation-style-language/schema/raw/master/csl-citation.json"}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(Bennett &amp; Dearden, 2014)</w:t>
      </w:r>
      <w:r w:rsidRPr="0081088D">
        <w:rPr>
          <w:rFonts w:ascii="Tahoma" w:hAnsi="Tahoma" w:cs="Tahoma"/>
          <w:szCs w:val="18"/>
        </w:rPr>
        <w:fldChar w:fldCharType="end"/>
      </w:r>
      <w:r w:rsidRPr="0081088D">
        <w:rPr>
          <w:rFonts w:ascii="Tahoma" w:hAnsi="Tahoma" w:cs="Tahoma"/>
          <w:szCs w:val="18"/>
        </w:rPr>
        <w:t xml:space="preserve"> menyatakan bahwa kinerja institusi dalam jasa wisata dapat bekerja optimal ketika penduduk menunjukkan pemberdayaan dan interpersonal trust diantara mereka.  Modal sosial penduduk desa Candirejo (Magelang) dan Rajegwesi  (TN Meru Betiri)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{"citationItems":[{"id":"ITEM-1","itemData":{"DOI":"10.6084/m9.figshare.6267491","abstract":"Kawasan TNMB merupakan hutan hujan tropis dengan variasi lima tipe vegetasi yaitu vegetasi hutan pantai, vegetasi hutan rawa, vegetasi hutan mangrove, vegetasi hutan rheophyte dan vegetasi hutan hujan dataran rendah. Keadaan hutannya selalu hijau dan terdiri dari jenis pohon yang beraneka ragam serta bercampur jenis bambu yang tersebar di seluruh kawasan ini. TNMB merupakan kawasan pelestarian alam yang memiliki potensi flora, fauna dan ekosistem serta gejala dan keunikan alam yang dapat dikembangkan sebagai obyek wisata alam.\r\n\r\nUpaya mengembangkan ekowisata di TNMB perlu disinergikan tujuan-tujuan konservasi lingkungan dan kesejahteraan masyarakat di sekitarnya. Konsep ini sudah banyak ditelaah dan menjadi program operasional di setiap taman nasional (Nugroho, 2011). Karakter jasa ekowisata adalah cluster (Fodor and Sitanyi, 2008a; 2008b) yang senantiasa menempatkan masyarakat atau penduduk lokal sebagai komponen penting dalam jasa ekowisata (Lash and Austin, 2003). Cluster ekowisata merupakan organisasi ekowisata (Prieto, Gilmore and Osiri, 2009) yang diperankan penduduk lokal, lembaga swadaya masyarakat, pelaku swasta, taman nasional dan pemerintah untuk menghasilkan kewirausahaan ekowisata. Semakin tinggi peran yang dilakukan oleh penduduk lokal, dan memperoleh manfaat kesejahteraan, maka cluster ekowisata berfungsi optimal.\r\n\r\n\r\n\r\nIwan Nugroho dan P. D. Negara. 2012. Kluster Ekowisata Berbasis Masyarakat di TN Meru Betiri. TEROPONG, Balitbang Provinsi Jatim. 65 (Sept-Okt 2012):33-37. ISSN 1412-8829","author":[{"dropping-particle":"","family":"Nugroho","given":"I.","non-dropping-particle":"","parse-names":false,"suffix":""},{"dropping-particle":"","family":"Negara","given":"P. D.","non-dropping-particle":"","parse-names":false,"suffix":""}],"container-title":"TEROPONG, Balitbang Provinsi Jatim.","id":"ITEM-1","issue":"5","issued":{"date-parts":[["2012"]]},"page":"33-37","title":"Kluster Ekowisata Berbasis Masyarakat di TN Meru Betiri","type":"article-journal","volume":"65"},"uris":["http://www.mendeley.com/documents/?uuid=b78b92e2-0547-3b8d-9159-bb740d208652"]},{"id":"ITEM-2","itemData":{"DOI":"10.5281/ZENODO.1087283","abstract":"This paper is aimed to study the roles of leadership and innovation in the development of local people based ecotourism services. The survey is conducted in Candirejo village, Borobudur District, Magelang Regency. The study of a descriptive approach is employed to identify people's behavior in ecotourism services. The results showed that ecotourism services have developed and provided benefits to the people. The roles of leadership and innovation interact positively with a cooperative to organize an ecotourism services management. The leadership is able to identify substances, to do the vision and missions of environmental and cultural conservation. The innovation provides alternative development efforts and increases the added value of ecotourism. The cooperative management was able to support a process to realize the goals of ecotourism, to build participation and communication, and to perform organizational learning. The phenomenon of the leadership in the Candirejo ecotourism enriches the studies of the ecotourism management. During this time, the ecotourism management is always associated with the standard management of national park. The ecotourism management of Candirejo is considered successful even outside the national park management.","author":[{"dropping-particle":"","family":"Nugroho","given":"I.","non-dropping-particle":"","parse-names":false,"suffix":""},{"dropping-particle":"","family":"Negara","given":"P. D.","non-dropping-particle":"","parse-names":false,"suffix":""}],"container-title":"World Academy of Science, Engineering and Technology","id":"ITEM-2","issued":{"date-parts":[["2014","10","23"]]},"page":"1178-1182","title":"The Role of Leadership and Innovation in Ecotourism Services Activity in Candirejo Village, Borobudur, Central Java, Indonesia","type":"article-journal","volume":"0079"},"uris":["http://www.mendeley.com/documents/?uuid=40f72081-f806-3aef-985d-b58465921208"]}],"mendeley":{"formattedCitation":"(Nugroho &amp; Negara, 2012, 2014)","plainTextFormattedCitation":"(Nugroho &amp; Negara, 2012, 2014)","previouslyFormattedCitation":"(Nugroho &amp; Negara, 2012, 2014)"},"properties":{"noteIndex":0},"schema":"https://github.com/citation-style-language/schema/raw/master/csl-citation.json"}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(Nugroho &amp; Negara, 2012, 2014)</w:t>
      </w:r>
      <w:r w:rsidRPr="0081088D">
        <w:rPr>
          <w:rFonts w:ascii="Tahoma" w:hAnsi="Tahoma" w:cs="Tahoma"/>
          <w:szCs w:val="18"/>
        </w:rPr>
        <w:fldChar w:fldCharType="end"/>
      </w:r>
      <w:r w:rsidRPr="0081088D">
        <w:rPr>
          <w:rFonts w:ascii="Tahoma" w:hAnsi="Tahoma" w:cs="Tahoma"/>
          <w:szCs w:val="18"/>
        </w:rPr>
        <w:t xml:space="preserve">, menunjukkan keberhasilan membangun desa wisata.  Sementara modal sosial desa Ngadas belum optimal berkembang </w:t>
      </w:r>
      <w:r w:rsidRPr="0081088D">
        <w:rPr>
          <w:rFonts w:ascii="Tahoma" w:hAnsi="Tahoma" w:cs="Tahoma"/>
          <w:szCs w:val="18"/>
        </w:rPr>
        <w:fldChar w:fldCharType="begin" w:fldLock="1"/>
      </w:r>
      <w:r>
        <w:rPr>
          <w:rFonts w:ascii="Tahoma" w:hAnsi="Tahoma" w:cs="Tahoma"/>
          <w:szCs w:val="18"/>
        </w:rPr>
        <w:instrText>ADDIN CSL_CITATION {"citationItems":[{"id":"ITEM-1","itemData":{"DOI":"10.6084/m9.figshare.6267980","abstract":"Entrepreneurship is the key word for the local population able to run ecotourism services. Ecotourism services as an economic approach, to optimize the benefits from the social aspects and ecology. Ecotourism should be interpreted as farming that could provide jobs, and generate revenue.\r\n\r\nThe study aims to measure an entrepreneurial capacity of local people in economic activities. The survey has been conducted on the Ngadas and Ranu Pane village, under the Bromo Tengger Semeru National Park (BTSNP) area authority. Ecotourism products and services in BTSNP is diverse, ranging from ocean sand scenery and the crater of Bromo, Semeru ascent, flora and fauna, to the culture of Kasodo and Karo.\r\n\r\nIn Ngadas and Ranu Pane village, local people of the Tengger or Javanese tribes able to play a role in transportation service, lodging, food and beverage stalls or packaging of traditional cultural attractions. Ecotourism business is run with simple management.\r\n\r\nThe analysis method of farming option (farm or ecotourism) used a binary logistic regression. Results showed that variables of facilities, experiences and and entrepreneurship score showed a positive relationship significantly to effect tendency of the mixed farming, each with a coefficient of 1.1522, 1.6928 and 0.15599. The three variables become a source of inspiration for local people into the entrepreneurial learning process and forming productive behavior in the ecotourism development.\r\n\r\n\r\n\r\nPurnomowati, W., I. Nugroho dan P. D. Negara. 2012. Entrepreneurship Ability On Ecotourism Services Of Local People In Taman Nasional Bromo Tengger Semeru, Malang Regency, East Java, Indonesia . 11th International Entrepreneurship Forum (11th IEF) Conference Entrepreneurship and Sustainability: From Lifestyles to Innovative Enterprises in Creative and Sustainable Environments, CONFERENCE PROCEEDINGS. Volume 2, ISSN: 2222-7318. 3-6 September 2012, Kuala Lumpur, Malaysia. 458-473","author":[{"dropping-particle":"","family":"Purnomowati","given":"Wiwin","non-dropping-particle":"","parse-names":false,"suffix":""},{"dropping-particle":"","family":"Nugroho","given":"Iwan","non-dropping-particle":"","parse-names":false,"suffix":""},{"dropping-particle":"","family":"Negara","given":"Purnawan Dwikora","non-dropping-particle":"","parse-names":false,"suffix":""}],"container-title":"11th International Entrepreneurship Forum (11th IEF) Conference Entrepreneurship and Sustainability: From Lifestyles to Innovative Enterprises in Creative and Sustainable Environments, 3-6 September 2012","id":"ITEM-1","issued":{"date-parts":[["2012"]]},"page":"458-473","publisher":"International Entrepreneurship Forum Conference","publisher-place":"Kuala Lumpur, Malaysia.","title":"Entrepreneurship Ability On Ecotourism Services Of Local People in Bromo Tengger Semeru National Park, Malang Regency, East Java, Indonesia .","type":"paper-conference"},"uris":["http://www.mendeley.com/documents/?uuid=d4bf497e-b133-3413-b8ec-083b69848675"]}],"mendeley":{"formattedCitation":"(Purnomowati et al., 2012)","plainTextFormattedCitation":"(Purnomowati et al., 2012)","previouslyFormattedCitation":"(Purnomowati et al., 2012)"},"properties":{"noteIndex":0},"schema":"https://github.com/citation-style-language/schema/raw/master/csl-citation.json"}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(Purnomowati et al., 2012)</w:t>
      </w:r>
      <w:r w:rsidRPr="0081088D">
        <w:rPr>
          <w:rFonts w:ascii="Tahoma" w:hAnsi="Tahoma" w:cs="Tahoma"/>
          <w:szCs w:val="18"/>
        </w:rPr>
        <w:fldChar w:fldCharType="end"/>
      </w:r>
      <w:r w:rsidRPr="0081088D">
        <w:rPr>
          <w:rFonts w:ascii="Tahoma" w:hAnsi="Tahoma" w:cs="Tahoma"/>
          <w:szCs w:val="18"/>
        </w:rPr>
        <w:t xml:space="preserve">.  Modal sosial berkembang positif di desa Gombengsari, sehingga menggerakkan ekowisata berbasis kopi dan ternak kambing etawa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{"citationItems":[{"id":"ITEM-1","itemData":{"DOI":"10.21776/ub.jitode.2018.006.02.08","ISSN":"23553979","author":[{"dropping-particle":"","family":"Hernanda","given":"Dedy Wahyu","non-dropping-particle":"","parse-names":false,"suffix":""},{"dropping-particle":"","family":"Mindarti","given":"Lely Indah","non-dropping-particle":"","parse-names":false,"suffix":""},{"dropping-particle":"","family":"Riyanto","given":"Riyanto","non-dropping-particle":"","parse-names":false,"suffix":""}],"container-title":"Journal of Indonesian Tourism and Development Studies","id":"ITEM-1","issue":"2","issued":{"date-parts":[["2018","4","4"]]},"page":"126-135","title":"Community Empowerment Based on Good Tourism Governance in the Development of Tourism Destination (Case Study of Kawah Ijen Tourism Buffer Zone \"Kampung Kopi\" Gombengsari Village, Kalipuro District, Banyuwangi Regency)","type":"article-journal","volume":"6"},"uris":["http://www.mendeley.com/documents/?uuid=62d883a3-56dc-3b64-9285-f651ea36a884"]},{"id":"ITEM-2","itemData":{"author":[{"dropping-particle":"","family":"Kelurahan Gombengsari","given":"","non-dropping-particle":"","parse-names":false,"suffix":""}],"id":"ITEM-2","issued":{"date-parts":[["2018"]]},"page":"7","publisher":"Kelurahan Gombengsari, Kec. Kalipuro, Kab Banyuwangi","publisher-place":"Banyuwangi","title":"Profil Kelurahan Gombengsari 2018","type":"article"},"uris":["http://www.mendeley.com/documents/?uuid=19d2a0f1-c247-3933-bca9-ea9fe224d733"]},{"id":"ITEM-3","itemData":{"DOI":"10.31328/ja.v12i2.763","abstract":"Robusta coffee farming is the main livelihood of the people of Gombengsari\r\nVillage. The success of coffee farming is influenced by the production of coffee, the\r\nprice of coffee, the cost of production, and the maintenance of coffee plants. The\r\nobjectives of this study are: 1) to find out the factors that influence production of the\r\npublic-invested coffee farming business, 2) to find out the revenue of the coffee\r\ngrowers, 3) to find out the development strategy of the public-invested coffee\r\nfarming business. This research employs descriptive analytical method. The\r\nsampling collection method used in this research is stratified random sampling and\r\npurposive sampling. The data analysis method used in this research is Cobb\r\nDouglas’s analysis, revenue analysis, and Force Field Analysis (FFA). The results\r\nshowed that: 1) production factors that significantly affect the production of public\r\ncoffee is land area, organic fertilizer, inorganic fertilizer, and labor. 2) coffee farming\r\nis profitable with an income of Rp 10,691,146.35. 3) coffee farming development\r\nstrategy based on FFA that is maximizing the pushing factors in the form of","author":[{"dropping-particle":"","family":"Anggita","given":"Dewi","non-dropping-particle":"","parse-names":false,"suffix":""},{"dropping-particle":"","family":"Soetriono","given":"Soetriono","non-dropping-particle":"","parse-names":false,"suffix":""},{"dropping-particle":"","family":"Kusmiati","given":"Ati","non-dropping-particle":"","parse-names":false,"suffix":""}],"container-title":"Agrika","id":"ITEM-3","issue":"2","issued":{"date-parts":[["2018"]]},"page":"118-132","title":"The Analysis on The Production and Development Strategy Factors of The Public-Invested Coffee Farming Business at Gombengsari Village Kalipuro Sub-District, Banyuwangi Regency","type":"article-journal","volume":"12"},"uris":["http://www.mendeley.com/documents/?uuid=5eeccdf1-55ca-3c43-ac3f-9b04091082cc"]}],"mendeley":{"formattedCitation":"(Anggita, Soetriono, &amp; Kusmiati, 2018; Hernanda, Mindarti, &amp; Riyanto, 2018; Kelurahan Gombengsari, 2018)","plainTextFormattedCitation":"(Anggita, Soetriono, &amp; Kusmiati, 2018; Hernanda, Mindarti, &amp; Riyanto, 2018; Kelurahan Gombengsari, 2018)","previouslyFormattedCitation":"(Anggita, Soetriono, &amp; Kusmiati, 2018; Hernanda, Mindarti, &amp; Riyanto, 2018; Kelurahan Gombengsari, 2018)"},"properties":{"noteIndex":0},"schema":"https://github.com/citation-style-language/schema/raw/master/csl-citation.json"}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(Anggita, Soetriono, &amp; Kusmiati, 2018; Hernanda, Mindarti, &amp; Riyanto, 2018; Kelurahan Gombengsari, 2018)</w:t>
      </w:r>
      <w:r w:rsidRPr="0081088D">
        <w:rPr>
          <w:rFonts w:ascii="Tahoma" w:hAnsi="Tahoma" w:cs="Tahoma"/>
          <w:szCs w:val="18"/>
        </w:rPr>
        <w:fldChar w:fldCharType="end"/>
      </w:r>
      <w:r w:rsidRPr="0081088D">
        <w:rPr>
          <w:rFonts w:ascii="Tahoma" w:hAnsi="Tahoma" w:cs="Tahoma"/>
          <w:szCs w:val="18"/>
        </w:rPr>
        <w:t xml:space="preserve">.   </w:t>
      </w:r>
    </w:p>
    <w:p w:rsidR="0081323C" w:rsidRDefault="0081323C" w:rsidP="0081323C">
      <w:pPr>
        <w:spacing w:after="120" w:line="360" w:lineRule="auto"/>
        <w:ind w:firstLine="425"/>
        <w:jc w:val="both"/>
        <w:rPr>
          <w:rFonts w:ascii="Tahoma" w:hAnsi="Tahoma" w:cs="Tahoma"/>
          <w:szCs w:val="18"/>
        </w:rPr>
      </w:pPr>
      <w:r w:rsidRPr="0081088D">
        <w:rPr>
          <w:rFonts w:ascii="Tahoma" w:hAnsi="Tahoma" w:cs="Tahoma"/>
          <w:szCs w:val="18"/>
        </w:rPr>
        <w:fldChar w:fldCharType="begin" w:fldLock="1"/>
      </w:r>
      <w:r w:rsidR="00DF341A">
        <w:rPr>
          <w:rFonts w:ascii="Tahoma" w:hAnsi="Tahoma" w:cs="Tahoma"/>
          <w:szCs w:val="18"/>
        </w:rPr>
        <w:instrText>ADDIN CSL_CITATION {"citationItems":[{"id":"ITEM-1","itemData":{"DOI":"10.1504/ijmabs.2018.10014342","abstract":"This is the second part of the paper on sustainability development.\r\nPart 1 developed theory that explains how complex adaptive human activity\r\nsystems can be seen as autonomous and self-organising third order cybernetic\r\nsystems. In this part 2 of the paper a review of the concepts related to\r\nsustainability is undertaken and discussed. The paper falls into three parts. The\r\nfirst part relates to the early concepts of the sustainability due to three pillars or\r\ndisciplinary dimensions of the human activity. The second elaborates on this \r\nthrough the consideration of additional dimensions, which are then referred to \r\nas systems. The third extends this argument and considers the rational for these\r\ndimensions, in due course reducing them to as five relevant interactive systems.\r\nThese together compose an interactive supersystem. Sustainability development\r\nrefers to this supersystem, not to the individual systems. In part 3 of the paper,\r\nthese systems are considered to be complex human adaptive systems and each\r\nis explored in more detail. ","author":[{"dropping-particle":"","family":"Yolles","given":"Maurice","non-dropping-particle":"","parse-names":false,"suffix":""}],"container-title":"International Journal of Markets and Business Systems","id":"ITEM-1","issue":"3","issued":{"date-parts":[["2018"]]},"page":"257-275","publisher":"Inderscience Publishers","title":"Sustainability development: part 2 - exploring the dimensions of sustainability development","type":"article-journal","volume":"3"},"uris":["http://www.mendeley.com/documents/?uuid=38a56ad0-162b-36d3-a8ec-c351c5e3859e"]}],"mendeley":{"formattedCitation":"(Yolles, 2018)","plainTextFormattedCitation":"(Yolles, 2018)","previouslyFormattedCitation":"(Yolles, 2018)"},"properties":{"noteIndex":0},"schema":"https://github.com/citation-style-language/schema/raw/master/csl-citation.json"}</w:instrText>
      </w:r>
      <w:r w:rsidRPr="0081088D">
        <w:rPr>
          <w:rFonts w:ascii="Tahoma" w:hAnsi="Tahoma" w:cs="Tahoma"/>
          <w:szCs w:val="18"/>
        </w:rPr>
        <w:fldChar w:fldCharType="separate"/>
      </w:r>
      <w:r w:rsidR="00DC627D" w:rsidRPr="00DC627D">
        <w:rPr>
          <w:rFonts w:ascii="Tahoma" w:hAnsi="Tahoma" w:cs="Tahoma"/>
          <w:noProof/>
          <w:szCs w:val="18"/>
        </w:rPr>
        <w:t>(Yolles, 2018)</w:t>
      </w:r>
      <w:r w:rsidRPr="0081088D">
        <w:rPr>
          <w:rFonts w:ascii="Tahoma" w:hAnsi="Tahoma" w:cs="Tahoma"/>
          <w:szCs w:val="18"/>
        </w:rPr>
        <w:fldChar w:fldCharType="end"/>
      </w:r>
      <w:r w:rsidRPr="0081088D">
        <w:rPr>
          <w:rFonts w:ascii="Tahoma" w:hAnsi="Tahoma" w:cs="Tahoma"/>
          <w:szCs w:val="18"/>
        </w:rPr>
        <w:t xml:space="preserve"> mengidentifikasi peran faktor sosial dalam mengatur dan mengendalikan pengelolaan sumberdaya.  Faktor sosial dan lingkungan bersifat interkoneksi dan tertanam, yang menstabilisasi kehidupan di dalam masyarakat atau organisasi.  Hubungan fungsional itu terwujud dalam kehidupan sosial budaya yang menghargai nilai-nilai lingkungan.  Hal ini menjelaskan mengapa sustainability aspek sosial senantiasa diutamakan untuk mendasari pengaturan atau pengelolaan aspek ekonomi dan lingkungan </w:t>
      </w:r>
      <w:r w:rsidRPr="0081088D">
        <w:rPr>
          <w:rFonts w:ascii="Tahoma" w:hAnsi="Tahoma" w:cs="Tahoma"/>
          <w:szCs w:val="18"/>
        </w:rPr>
        <w:fldChar w:fldCharType="begin" w:fldLock="1"/>
      </w:r>
      <w:r w:rsidRPr="0081088D">
        <w:rPr>
          <w:rFonts w:ascii="Tahoma" w:hAnsi="Tahoma" w:cs="Tahoma"/>
          <w:szCs w:val="18"/>
        </w:rPr>
        <w:instrText>ADDIN CSL_CITATION {"citationItems":[{"id":"ITEM-1","itemData":{"DOI":"10.3390/su11154132","abstract":"Sustainability has become one of the key factors for the development of tourism both nowadays and in the future. The need to integrate environmental, socio-cultural and economic factors is a consequence of the evolution of society itself, the introduction of new information and communication technologies (ICTs) and a new way of understanding tourism and the world in general. Tourists increasingly seek a unique quality in their travels and are better informed before deciding on a tourist destination to spend their holidays or leisure time. They want to have unique, memorable experiences, and because of that, they are willing to look for those destinations that can offer them something different. The generation of expectations is no longer the sole responsibility of companies and public and private organizations in destinations, since information may be in the hands of the individuals themselves who can share it in social networks, blogs, or on platforms such as Booking or TripAdvisor, among others. This forces companies and public and private organizations to rethink the way in which and when they relate to tourists in general. With all these considerations, one of the objectives of this study was to analyse the way in which sustainability interrelates with the generation of expectations, experiences and perceptions and the effect on the possibilities of returning to a tourist destination and even recommending it in social networks to friends and acquaintances. For this reason, the destination of Acapulco, Guerrero, Mexico, was chosen, a mature destination of sun and beach that, in recent years, has been immersed in a process of change where one of the axes is sustainability. This study used a convenience survey with 310 valid questionnaires with tourists who stayed more than three days in Acapulco during the months of December 2016 to February 2017. The questionnaires were completed at different points of the destination and by participants over 18 years of age. We used SEM (Structural Equations Modeling) and EQS (Structural Equation Modeling Software) for statistical analysis. The results of the study showed how expectations influenced experiences and the intention to return to the destination and recommend it (WOM), thus, we proposed a series of recommendations for public and private agents that manage this tourist destination.","author":[{"dropping-particle":"","family":"Solís-Radilla","given":"María Magdalena","non-dropping-particle":"","parse-names":false,"suffix":""},{"dropping-particle":"","family":"Hernández-Lobato","given":"Lucio","non-dropping-particle":"","parse-names":false,"suffix":""},{"dropping-particle":"","family":"Callarisa-Fiol","given":"Luis Jose","non-dropping-particle":"","parse-names":false,"suffix":""},{"dropping-particle":"","family":"Pastor-Durán","given":"Héctor T.","non-dropping-particle":"","parse-names":false,"suffix":""}],"container-title":"Sustainability","id":"ITEM-1","issue":"15","issued":{"date-parts":[["2019","7","31"]]},"page":"4132","publisher":"MDPI AG","title":"The Importance of Sustainability in the Loyalty to a Tourist Destination through the Management of Expectations and Experiences","type":"article-journal","volume":"11"},"uris":["http://www.mendeley.com/documents/?uuid=01c11dd2-b5fa-30c5-921d-e0d11842a742"]}],"mendeley":{"formattedCitation":"(Solís-Radilla, Hernández-Lobato, Callarisa-Fiol, &amp; Pastor-Durán, 2019)","plainTextFormattedCitation":"(Solís-Radilla, Hernández-Lobato, Callarisa-Fiol, &amp; Pastor-Durán, 2019)","previouslyFormattedCitation":"(Solís-Radilla, Hernández-Lobato, Callarisa-Fiol, &amp; Pastor-Durán, 2019)"},"properties":{"noteIndex":0},"schema":"https://github.com/citation-style-language/schema/raw/master/csl-citation.json"}</w:instrText>
      </w:r>
      <w:r w:rsidRPr="0081088D">
        <w:rPr>
          <w:rFonts w:ascii="Tahoma" w:hAnsi="Tahoma" w:cs="Tahoma"/>
          <w:szCs w:val="18"/>
        </w:rPr>
        <w:fldChar w:fldCharType="separate"/>
      </w:r>
      <w:r w:rsidRPr="0081088D">
        <w:rPr>
          <w:rFonts w:ascii="Tahoma" w:hAnsi="Tahoma" w:cs="Tahoma"/>
          <w:noProof/>
          <w:szCs w:val="18"/>
        </w:rPr>
        <w:t>(Solís-Radilla, Hernández-Lobato, Callarisa-Fiol, &amp; Pastor-Durán, 2019)</w:t>
      </w:r>
      <w:r w:rsidRPr="0081088D">
        <w:rPr>
          <w:rFonts w:ascii="Tahoma" w:hAnsi="Tahoma" w:cs="Tahoma"/>
          <w:szCs w:val="18"/>
        </w:rPr>
        <w:fldChar w:fldCharType="end"/>
      </w:r>
      <w:r w:rsidRPr="0081088D">
        <w:rPr>
          <w:rFonts w:ascii="Tahoma" w:hAnsi="Tahoma" w:cs="Tahoma"/>
          <w:szCs w:val="18"/>
        </w:rPr>
        <w:t>.</w:t>
      </w:r>
    </w:p>
    <w:p w:rsidR="0081323C" w:rsidRDefault="0081323C"/>
    <w:sectPr w:rsidR="008132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B27"/>
    <w:rsid w:val="00030DCA"/>
    <w:rsid w:val="00110B94"/>
    <w:rsid w:val="00224285"/>
    <w:rsid w:val="00312C02"/>
    <w:rsid w:val="00323F29"/>
    <w:rsid w:val="003A1DEF"/>
    <w:rsid w:val="004E1E3F"/>
    <w:rsid w:val="00531218"/>
    <w:rsid w:val="0054590C"/>
    <w:rsid w:val="005E0760"/>
    <w:rsid w:val="007C0C51"/>
    <w:rsid w:val="0081323C"/>
    <w:rsid w:val="00881B27"/>
    <w:rsid w:val="009942AA"/>
    <w:rsid w:val="00B9451A"/>
    <w:rsid w:val="00BD0647"/>
    <w:rsid w:val="00C20BE8"/>
    <w:rsid w:val="00C8386C"/>
    <w:rsid w:val="00C97206"/>
    <w:rsid w:val="00DC627D"/>
    <w:rsid w:val="00DF341A"/>
    <w:rsid w:val="00E86C25"/>
    <w:rsid w:val="00F80826"/>
    <w:rsid w:val="00FF3C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27"/>
    <w:rPr>
      <w:rFonts w:ascii="Tahoma" w:hAnsi="Tahoma" w:cs="Tahoma"/>
      <w:sz w:val="16"/>
      <w:szCs w:val="16"/>
    </w:rPr>
  </w:style>
  <w:style w:type="character" w:styleId="Hyperlink">
    <w:name w:val="Hyperlink"/>
    <w:basedOn w:val="DefaultParagraphFont"/>
    <w:uiPriority w:val="99"/>
    <w:unhideWhenUsed/>
    <w:rsid w:val="00881B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27"/>
    <w:rPr>
      <w:rFonts w:ascii="Tahoma" w:hAnsi="Tahoma" w:cs="Tahoma"/>
      <w:sz w:val="16"/>
      <w:szCs w:val="16"/>
    </w:rPr>
  </w:style>
  <w:style w:type="character" w:styleId="Hyperlink">
    <w:name w:val="Hyperlink"/>
    <w:basedOn w:val="DefaultParagraphFont"/>
    <w:uiPriority w:val="99"/>
    <w:unhideWhenUsed/>
    <w:rsid w:val="00881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vid19.go.id/edukasi/apa-yang-harus-kamu-ketahui-tentang-covid-19/adaptasi-kebiasaan-baru" TargetMode="External"/><Relationship Id="rId3" Type="http://schemas.microsoft.com/office/2007/relationships/stylesWithEffects" Target="stylesWithEffects.xml"/><Relationship Id="rId7" Type="http://schemas.openxmlformats.org/officeDocument/2006/relationships/hyperlink" Target="https://covid19.go.id/peta-sebaran"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6821C52-9D80-479F-9A9F-54E934B5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15</Pages>
  <Words>30498</Words>
  <Characters>173843</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9</cp:revision>
  <dcterms:created xsi:type="dcterms:W3CDTF">2020-09-27T01:28:00Z</dcterms:created>
  <dcterms:modified xsi:type="dcterms:W3CDTF">2020-09-29T01:14:00Z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6838d458-bac4-3f92-9816-b1254e517828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